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D0034">
      <w:pPr>
        <w:spacing w:line="276" w:lineRule="auto"/>
        <w:jc w:val="center"/>
        <w:rPr>
          <w:rFonts w:hint="default" w:ascii="Segoe UI Historic" w:hAnsi="Segoe UI Historic" w:eastAsia="Calibri" w:cs="Segoe UI Historic"/>
          <w:b/>
          <w:sz w:val="28"/>
          <w:szCs w:val="22"/>
          <w:lang w:val="en-GB" w:eastAsia="en-US"/>
        </w:rPr>
      </w:pPr>
      <w:bookmarkStart w:id="0" w:name="_GoBack"/>
      <w:r>
        <w:rPr>
          <w:rFonts w:hint="default" w:ascii="Segoe UI Historic" w:hAnsi="Segoe UI Historic" w:eastAsia="Calibri"/>
          <w:b/>
          <w:sz w:val="28"/>
          <w:szCs w:val="22"/>
          <w:lang w:val="en-GB" w:eastAsia="en-US"/>
        </w:rPr>
        <w:t>Antihypertensive Prescribing Patterns and Drug-Related Problems Among Hospitalised Patients with Hypertension at a Tertiary Care Hospital in Peshawar, Pakistan: A Cross-Sectional Study</w:t>
      </w:r>
    </w:p>
    <w:bookmarkEnd w:id="0"/>
    <w:p w14:paraId="122C6B6E">
      <w:pPr>
        <w:spacing w:line="276" w:lineRule="auto"/>
        <w:jc w:val="both"/>
        <w:rPr>
          <w:rFonts w:ascii="Segoe UI Historic" w:hAnsi="Segoe UI Historic" w:eastAsia="Calibri" w:cs="Segoe UI Historic"/>
          <w:b/>
          <w:sz w:val="10"/>
          <w:szCs w:val="6"/>
          <w:lang w:eastAsia="en-US"/>
        </w:rPr>
      </w:pPr>
    </w:p>
    <w:p w14:paraId="77C55594">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Muhammad Waqas</w:t>
      </w:r>
    </w:p>
    <w:p w14:paraId="0C1F8AE5">
      <w:pPr>
        <w:jc w:val="both"/>
        <w:rPr>
          <w:rFonts w:hint="default" w:ascii="Segoe UI Historic" w:hAnsi="Segoe UI Historic" w:eastAsia="Calibri"/>
          <w:b w:val="0"/>
          <w:bCs/>
          <w:sz w:val="24"/>
          <w:lang w:eastAsia="en-US"/>
        </w:rPr>
      </w:pPr>
      <w:r>
        <w:rPr>
          <w:rFonts w:hint="default" w:ascii="Segoe UI Historic" w:hAnsi="Segoe UI Historic" w:eastAsia="Calibri"/>
          <w:b w:val="0"/>
          <w:bCs/>
          <w:sz w:val="24"/>
          <w:lang w:eastAsia="en-US"/>
        </w:rPr>
        <w:t>MS Scholar, Department of Pharmacy, Sarhad University of Science and Information Technology, Islamabad Campus, Pakistan.</w:t>
      </w:r>
      <w:r>
        <w:rPr>
          <w:rFonts w:hint="default" w:ascii="Segoe UI Historic" w:hAnsi="Segoe UI Historic" w:eastAsia="Calibri"/>
          <w:b w:val="0"/>
          <w:bCs/>
          <w:sz w:val="24"/>
          <w:lang w:val="en-US" w:eastAsia="en-US"/>
        </w:rPr>
        <w:t xml:space="preserve"> </w:t>
      </w:r>
      <w:r>
        <w:rPr>
          <w:rFonts w:hint="default" w:ascii="Segoe UI Historic" w:hAnsi="Segoe UI Historic" w:eastAsia="Calibri"/>
          <w:b w:val="0"/>
          <w:bCs/>
          <w:sz w:val="24"/>
          <w:lang w:eastAsia="en-US"/>
        </w:rPr>
        <w:fldChar w:fldCharType="begin"/>
      </w:r>
      <w:r>
        <w:rPr>
          <w:rFonts w:hint="default" w:ascii="Segoe UI Historic" w:hAnsi="Segoe UI Historic" w:eastAsia="Calibri"/>
          <w:b w:val="0"/>
          <w:bCs/>
          <w:sz w:val="24"/>
          <w:lang w:eastAsia="en-US"/>
        </w:rPr>
        <w:instrText xml:space="preserve"> HYPERLINK "mailto:kabirwaqas363@gmail.com" </w:instrText>
      </w:r>
      <w:r>
        <w:rPr>
          <w:rFonts w:hint="default" w:ascii="Segoe UI Historic" w:hAnsi="Segoe UI Historic" w:eastAsia="Calibri"/>
          <w:b w:val="0"/>
          <w:bCs/>
          <w:sz w:val="24"/>
          <w:lang w:eastAsia="en-US"/>
        </w:rPr>
        <w:fldChar w:fldCharType="separate"/>
      </w:r>
      <w:r>
        <w:rPr>
          <w:rStyle w:val="15"/>
          <w:rFonts w:hint="default" w:ascii="Segoe UI Historic" w:hAnsi="Segoe UI Historic" w:eastAsia="Calibri"/>
          <w:b w:val="0"/>
          <w:bCs/>
          <w:sz w:val="24"/>
          <w:lang w:eastAsia="en-US"/>
        </w:rPr>
        <w:t>kabirwaqas363@gmail.com</w:t>
      </w:r>
      <w:r>
        <w:rPr>
          <w:rFonts w:hint="default" w:ascii="Segoe UI Historic" w:hAnsi="Segoe UI Historic" w:eastAsia="Calibri"/>
          <w:b w:val="0"/>
          <w:bCs/>
          <w:sz w:val="24"/>
          <w:lang w:eastAsia="en-US"/>
        </w:rPr>
        <w:fldChar w:fldCharType="end"/>
      </w:r>
      <w:r>
        <w:rPr>
          <w:rFonts w:hint="default" w:ascii="Segoe UI Historic" w:hAnsi="Segoe UI Historic" w:eastAsia="Calibri"/>
          <w:b w:val="0"/>
          <w:bCs/>
          <w:sz w:val="24"/>
          <w:lang w:val="en-US" w:eastAsia="en-US"/>
        </w:rPr>
        <w:t xml:space="preserve"> </w:t>
      </w:r>
      <w:r>
        <w:rPr>
          <w:rFonts w:hint="default" w:ascii="Segoe UI Historic" w:hAnsi="Segoe UI Historic" w:eastAsia="Calibri"/>
          <w:b w:val="0"/>
          <w:bCs/>
          <w:sz w:val="24"/>
          <w:lang w:eastAsia="en-US"/>
        </w:rPr>
        <w:t xml:space="preserve"> </w:t>
      </w:r>
    </w:p>
    <w:p w14:paraId="16A445AD">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Amber Fatima</w:t>
      </w:r>
    </w:p>
    <w:p w14:paraId="44B94D96">
      <w:pPr>
        <w:jc w:val="both"/>
        <w:rPr>
          <w:rFonts w:hint="default" w:ascii="Segoe UI Historic" w:hAnsi="Segoe UI Historic" w:eastAsia="Calibri"/>
          <w:b w:val="0"/>
          <w:bCs/>
          <w:sz w:val="24"/>
          <w:lang w:val="en-US" w:eastAsia="en-US"/>
        </w:rPr>
      </w:pPr>
      <w:r>
        <w:rPr>
          <w:rFonts w:hint="default" w:ascii="Segoe UI Historic" w:hAnsi="Segoe UI Historic" w:eastAsia="Calibri"/>
          <w:b w:val="0"/>
          <w:bCs/>
          <w:sz w:val="24"/>
          <w:lang w:eastAsia="en-US"/>
        </w:rPr>
        <w:t>Department of Pharmacy, University of Lahore</w:t>
      </w:r>
      <w:r>
        <w:rPr>
          <w:rFonts w:hint="default" w:ascii="Segoe UI Historic" w:hAnsi="Segoe UI Historic" w:eastAsia="Calibri"/>
          <w:b w:val="0"/>
          <w:bCs/>
          <w:sz w:val="24"/>
          <w:lang w:val="en-US" w:eastAsia="en-US"/>
        </w:rPr>
        <w:t xml:space="preserve">. </w:t>
      </w:r>
      <w:r>
        <w:rPr>
          <w:rFonts w:hint="default" w:ascii="Segoe UI Historic" w:hAnsi="Segoe UI Historic" w:eastAsia="Calibri"/>
          <w:b w:val="0"/>
          <w:bCs/>
          <w:sz w:val="24"/>
          <w:lang w:eastAsia="en-US"/>
        </w:rPr>
        <w:fldChar w:fldCharType="begin"/>
      </w:r>
      <w:r>
        <w:rPr>
          <w:rFonts w:hint="default" w:ascii="Segoe UI Historic" w:hAnsi="Segoe UI Historic" w:eastAsia="Calibri"/>
          <w:b w:val="0"/>
          <w:bCs/>
          <w:sz w:val="24"/>
          <w:lang w:eastAsia="en-US"/>
        </w:rPr>
        <w:instrText xml:space="preserve"> HYPERLINK "mailto:70178667@student.uol.edu.pk" </w:instrText>
      </w:r>
      <w:r>
        <w:rPr>
          <w:rFonts w:hint="default" w:ascii="Segoe UI Historic" w:hAnsi="Segoe UI Historic" w:eastAsia="Calibri"/>
          <w:b w:val="0"/>
          <w:bCs/>
          <w:sz w:val="24"/>
          <w:lang w:eastAsia="en-US"/>
        </w:rPr>
        <w:fldChar w:fldCharType="separate"/>
      </w:r>
      <w:r>
        <w:rPr>
          <w:rStyle w:val="15"/>
          <w:rFonts w:hint="default" w:ascii="Segoe UI Historic" w:hAnsi="Segoe UI Historic" w:eastAsia="Calibri"/>
          <w:b w:val="0"/>
          <w:bCs/>
          <w:sz w:val="24"/>
          <w:lang w:eastAsia="en-US"/>
        </w:rPr>
        <w:t>70178667@student.uol.edu.pk</w:t>
      </w:r>
      <w:r>
        <w:rPr>
          <w:rFonts w:hint="default" w:ascii="Segoe UI Historic" w:hAnsi="Segoe UI Historic" w:eastAsia="Calibri"/>
          <w:b w:val="0"/>
          <w:bCs/>
          <w:sz w:val="24"/>
          <w:lang w:eastAsia="en-US"/>
        </w:rPr>
        <w:fldChar w:fldCharType="end"/>
      </w:r>
      <w:r>
        <w:rPr>
          <w:rFonts w:hint="default" w:ascii="Segoe UI Historic" w:hAnsi="Segoe UI Historic" w:eastAsia="Calibri"/>
          <w:b w:val="0"/>
          <w:bCs/>
          <w:sz w:val="24"/>
          <w:lang w:val="en-US" w:eastAsia="en-US"/>
        </w:rPr>
        <w:t xml:space="preserve"> </w:t>
      </w:r>
    </w:p>
    <w:p w14:paraId="3CCD98B6">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 xml:space="preserve">Syed Asim Shah </w:t>
      </w:r>
    </w:p>
    <w:p w14:paraId="573C03D9">
      <w:pPr>
        <w:jc w:val="both"/>
        <w:rPr>
          <w:rFonts w:hint="default" w:ascii="Segoe UI Historic" w:hAnsi="Segoe UI Historic" w:eastAsia="Calibri"/>
          <w:b w:val="0"/>
          <w:bCs/>
          <w:sz w:val="24"/>
          <w:lang w:val="en-US" w:eastAsia="en-US"/>
        </w:rPr>
      </w:pPr>
      <w:r>
        <w:rPr>
          <w:rFonts w:hint="default" w:ascii="Segoe UI Historic" w:hAnsi="Segoe UI Historic" w:eastAsia="Calibri"/>
          <w:b w:val="0"/>
          <w:bCs/>
          <w:sz w:val="24"/>
          <w:lang w:eastAsia="en-US"/>
        </w:rPr>
        <w:t>Lecturer, Department of Pharmacy, Sarhad University of Science and Information Technology, Islamabad Campus, Pakistan.</w:t>
      </w:r>
      <w:r>
        <w:rPr>
          <w:rFonts w:hint="default" w:ascii="Segoe UI Historic" w:hAnsi="Segoe UI Historic" w:eastAsia="Calibri"/>
          <w:b w:val="0"/>
          <w:bCs/>
          <w:sz w:val="24"/>
          <w:lang w:val="en-US" w:eastAsia="en-US"/>
        </w:rPr>
        <w:t xml:space="preserve"> </w:t>
      </w:r>
      <w:r>
        <w:rPr>
          <w:rFonts w:hint="default" w:ascii="Segoe UI Historic" w:hAnsi="Segoe UI Historic" w:eastAsia="Calibri"/>
          <w:b w:val="0"/>
          <w:bCs/>
          <w:sz w:val="24"/>
          <w:lang w:eastAsia="en-US"/>
        </w:rPr>
        <w:fldChar w:fldCharType="begin"/>
      </w:r>
      <w:r>
        <w:rPr>
          <w:rFonts w:hint="default" w:ascii="Segoe UI Historic" w:hAnsi="Segoe UI Historic" w:eastAsia="Calibri"/>
          <w:b w:val="0"/>
          <w:bCs/>
          <w:sz w:val="24"/>
          <w:lang w:eastAsia="en-US"/>
        </w:rPr>
        <w:instrText xml:space="preserve"> HYPERLINK "mailto:syedasimshah10@gmail.com" </w:instrText>
      </w:r>
      <w:r>
        <w:rPr>
          <w:rFonts w:hint="default" w:ascii="Segoe UI Historic" w:hAnsi="Segoe UI Historic" w:eastAsia="Calibri"/>
          <w:b w:val="0"/>
          <w:bCs/>
          <w:sz w:val="24"/>
          <w:lang w:eastAsia="en-US"/>
        </w:rPr>
        <w:fldChar w:fldCharType="separate"/>
      </w:r>
      <w:r>
        <w:rPr>
          <w:rStyle w:val="15"/>
          <w:rFonts w:hint="default" w:ascii="Segoe UI Historic" w:hAnsi="Segoe UI Historic" w:eastAsia="Calibri"/>
          <w:b w:val="0"/>
          <w:bCs/>
          <w:sz w:val="24"/>
          <w:lang w:eastAsia="en-US"/>
        </w:rPr>
        <w:t>syedasimshah10@gmail.com</w:t>
      </w:r>
      <w:r>
        <w:rPr>
          <w:rFonts w:hint="default" w:ascii="Segoe UI Historic" w:hAnsi="Segoe UI Historic" w:eastAsia="Calibri"/>
          <w:b w:val="0"/>
          <w:bCs/>
          <w:sz w:val="24"/>
          <w:lang w:eastAsia="en-US"/>
        </w:rPr>
        <w:fldChar w:fldCharType="end"/>
      </w:r>
      <w:r>
        <w:rPr>
          <w:rFonts w:hint="default" w:ascii="Segoe UI Historic" w:hAnsi="Segoe UI Historic" w:eastAsia="Calibri"/>
          <w:b w:val="0"/>
          <w:bCs/>
          <w:sz w:val="24"/>
          <w:lang w:val="en-US" w:eastAsia="en-US"/>
        </w:rPr>
        <w:t xml:space="preserve"> </w:t>
      </w:r>
    </w:p>
    <w:p w14:paraId="075CDB2E">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Zeeshan Ahmad Khan</w:t>
      </w:r>
    </w:p>
    <w:p w14:paraId="420531D1">
      <w:pPr>
        <w:jc w:val="both"/>
        <w:rPr>
          <w:rFonts w:hint="default" w:ascii="Segoe UI Historic" w:hAnsi="Segoe UI Historic" w:eastAsia="Calibri"/>
          <w:b/>
          <w:bCs w:val="0"/>
          <w:sz w:val="24"/>
          <w:lang w:eastAsia="en-US"/>
        </w:rPr>
      </w:pPr>
      <w:r>
        <w:rPr>
          <w:rFonts w:hint="default" w:ascii="Segoe UI Historic" w:hAnsi="Segoe UI Historic" w:eastAsia="Calibri"/>
          <w:b w:val="0"/>
          <w:bCs/>
          <w:sz w:val="24"/>
          <w:lang w:eastAsia="en-US"/>
        </w:rPr>
        <w:t>MS Scholar, Department of Pharmacy, Sarhad University of Science and Information Technology, Islamabad Campus, Pakistan.</w:t>
      </w:r>
      <w:r>
        <w:rPr>
          <w:rFonts w:hint="default" w:ascii="Segoe UI Historic" w:hAnsi="Segoe UI Historic" w:eastAsia="Calibri"/>
          <w:b/>
          <w:bCs w:val="0"/>
          <w:sz w:val="24"/>
          <w:lang w:val="en-US" w:eastAsia="en-US"/>
        </w:rPr>
        <w:t xml:space="preserve"> </w:t>
      </w:r>
      <w:r>
        <w:rPr>
          <w:rFonts w:hint="default" w:ascii="Segoe UI Historic" w:hAnsi="Segoe UI Historic" w:eastAsia="Calibri"/>
          <w:b/>
          <w:bCs w:val="0"/>
          <w:sz w:val="24"/>
          <w:lang w:eastAsia="en-US"/>
        </w:rPr>
        <w:fldChar w:fldCharType="begin"/>
      </w:r>
      <w:r>
        <w:rPr>
          <w:rFonts w:hint="default" w:ascii="Segoe UI Historic" w:hAnsi="Segoe UI Historic" w:eastAsia="Calibri"/>
          <w:b/>
          <w:bCs w:val="0"/>
          <w:sz w:val="24"/>
          <w:lang w:eastAsia="en-US"/>
        </w:rPr>
        <w:instrText xml:space="preserve"> HYPERLINK "mailto:zeeshanktk54@gmail.com" </w:instrText>
      </w:r>
      <w:r>
        <w:rPr>
          <w:rFonts w:hint="default" w:ascii="Segoe UI Historic" w:hAnsi="Segoe UI Historic" w:eastAsia="Calibri"/>
          <w:b/>
          <w:bCs w:val="0"/>
          <w:sz w:val="24"/>
          <w:lang w:eastAsia="en-US"/>
        </w:rPr>
        <w:fldChar w:fldCharType="separate"/>
      </w:r>
      <w:r>
        <w:rPr>
          <w:rStyle w:val="15"/>
          <w:rFonts w:hint="default" w:ascii="Segoe UI Historic" w:hAnsi="Segoe UI Historic" w:eastAsia="Calibri"/>
          <w:b/>
          <w:bCs w:val="0"/>
          <w:sz w:val="24"/>
          <w:lang w:eastAsia="en-US"/>
        </w:rPr>
        <w:t>zeeshanktk54@gmail.com</w:t>
      </w:r>
      <w:r>
        <w:rPr>
          <w:rFonts w:hint="default" w:ascii="Segoe UI Historic" w:hAnsi="Segoe UI Historic" w:eastAsia="Calibri"/>
          <w:b/>
          <w:bCs w:val="0"/>
          <w:sz w:val="24"/>
          <w:lang w:eastAsia="en-US"/>
        </w:rPr>
        <w:fldChar w:fldCharType="end"/>
      </w:r>
      <w:r>
        <w:rPr>
          <w:rFonts w:hint="default" w:ascii="Segoe UI Historic" w:hAnsi="Segoe UI Historic" w:eastAsia="Calibri"/>
          <w:b/>
          <w:bCs w:val="0"/>
          <w:sz w:val="24"/>
          <w:lang w:val="en-US" w:eastAsia="en-US"/>
        </w:rPr>
        <w:t xml:space="preserve"> </w:t>
      </w:r>
      <w:r>
        <w:rPr>
          <w:rFonts w:hint="default" w:ascii="Segoe UI Historic" w:hAnsi="Segoe UI Historic" w:eastAsia="Calibri"/>
          <w:b/>
          <w:bCs w:val="0"/>
          <w:sz w:val="24"/>
          <w:lang w:eastAsia="en-US"/>
        </w:rPr>
        <w:t xml:space="preserve"> </w:t>
      </w:r>
    </w:p>
    <w:p w14:paraId="0255BAB6">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Hafiz Basit Muneer</w:t>
      </w:r>
    </w:p>
    <w:p w14:paraId="341F5DD4">
      <w:pPr>
        <w:jc w:val="both"/>
        <w:rPr>
          <w:rFonts w:hint="default" w:ascii="Segoe UI Historic" w:hAnsi="Segoe UI Historic" w:eastAsia="Calibri"/>
          <w:b/>
          <w:sz w:val="24"/>
          <w:lang w:val="en-US" w:eastAsia="en-US"/>
        </w:rPr>
      </w:pPr>
      <w:r>
        <w:rPr>
          <w:rFonts w:hint="default" w:ascii="Segoe UI Historic" w:hAnsi="Segoe UI Historic" w:eastAsia="Calibri"/>
          <w:b w:val="0"/>
          <w:bCs/>
          <w:sz w:val="24"/>
          <w:lang w:eastAsia="en-US"/>
        </w:rPr>
        <w:t>Department of Pharmacy, University of Lahore</w:t>
      </w:r>
      <w:r>
        <w:rPr>
          <w:rFonts w:hint="default" w:ascii="Segoe UI Historic" w:hAnsi="Segoe UI Historic" w:eastAsia="Calibri"/>
          <w:b w:val="0"/>
          <w:bCs/>
          <w:sz w:val="24"/>
          <w:lang w:val="en-US" w:eastAsia="en-US"/>
        </w:rPr>
        <w:t xml:space="preserve">. </w:t>
      </w:r>
      <w:r>
        <w:rPr>
          <w:rFonts w:hint="default" w:ascii="Segoe UI Historic" w:hAnsi="Segoe UI Historic" w:eastAsia="Calibri"/>
          <w:b w:val="0"/>
          <w:bCs/>
          <w:sz w:val="24"/>
          <w:lang w:eastAsia="en-US"/>
        </w:rPr>
        <w:fldChar w:fldCharType="begin"/>
      </w:r>
      <w:r>
        <w:rPr>
          <w:rFonts w:hint="default" w:ascii="Segoe UI Historic" w:hAnsi="Segoe UI Historic" w:eastAsia="Calibri"/>
          <w:b w:val="0"/>
          <w:bCs/>
          <w:sz w:val="24"/>
          <w:lang w:eastAsia="en-US"/>
        </w:rPr>
        <w:instrText xml:space="preserve"> HYPERLINK "mailto:hafizbasitmuneer1@gmail.com" </w:instrText>
      </w:r>
      <w:r>
        <w:rPr>
          <w:rFonts w:hint="default" w:ascii="Segoe UI Historic" w:hAnsi="Segoe UI Historic" w:eastAsia="Calibri"/>
          <w:b w:val="0"/>
          <w:bCs/>
          <w:sz w:val="24"/>
          <w:lang w:eastAsia="en-US"/>
        </w:rPr>
        <w:fldChar w:fldCharType="separate"/>
      </w:r>
      <w:r>
        <w:rPr>
          <w:rStyle w:val="15"/>
          <w:rFonts w:hint="default" w:ascii="Segoe UI Historic" w:hAnsi="Segoe UI Historic" w:eastAsia="Calibri"/>
          <w:b w:val="0"/>
          <w:bCs/>
          <w:sz w:val="24"/>
          <w:lang w:eastAsia="en-US"/>
        </w:rPr>
        <w:t>hafizbasitmuneer1@gmail.com</w:t>
      </w:r>
      <w:r>
        <w:rPr>
          <w:rFonts w:hint="default" w:ascii="Segoe UI Historic" w:hAnsi="Segoe UI Historic" w:eastAsia="Calibri"/>
          <w:b w:val="0"/>
          <w:bCs/>
          <w:sz w:val="24"/>
          <w:lang w:eastAsia="en-US"/>
        </w:rPr>
        <w:fldChar w:fldCharType="end"/>
      </w:r>
      <w:r>
        <w:rPr>
          <w:rFonts w:hint="default" w:ascii="Segoe UI Historic" w:hAnsi="Segoe UI Historic" w:eastAsia="Calibri"/>
          <w:b w:val="0"/>
          <w:bCs/>
          <w:sz w:val="24"/>
          <w:lang w:val="en-US" w:eastAsia="en-US"/>
        </w:rPr>
        <w:t xml:space="preserve"> </w:t>
      </w:r>
    </w:p>
    <w:p w14:paraId="70F9FD1C">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Dr. Sadaf Wadood</w:t>
      </w:r>
    </w:p>
    <w:p w14:paraId="7B23796A">
      <w:pPr>
        <w:jc w:val="both"/>
        <w:rPr>
          <w:rFonts w:hint="default" w:ascii="Segoe UI Historic" w:hAnsi="Segoe UI Historic" w:eastAsia="Calibri"/>
          <w:b w:val="0"/>
          <w:bCs/>
          <w:sz w:val="24"/>
          <w:lang w:val="en-US" w:eastAsia="en-US"/>
        </w:rPr>
      </w:pPr>
      <w:r>
        <w:rPr>
          <w:rFonts w:hint="default" w:ascii="Segoe UI Historic" w:hAnsi="Segoe UI Historic" w:eastAsia="Calibri"/>
          <w:b w:val="0"/>
          <w:bCs/>
          <w:sz w:val="24"/>
          <w:lang w:eastAsia="en-US"/>
        </w:rPr>
        <w:t>TMO, Department of Gynae, FC Teaching Hospital, Peshawar, Pakistan.</w:t>
      </w:r>
      <w:r>
        <w:rPr>
          <w:rFonts w:hint="default" w:ascii="Segoe UI Historic" w:hAnsi="Segoe UI Historic" w:eastAsia="Calibri"/>
          <w:b w:val="0"/>
          <w:bCs/>
          <w:sz w:val="24"/>
          <w:lang w:val="en-US" w:eastAsia="en-US"/>
        </w:rPr>
        <w:t xml:space="preserve"> </w:t>
      </w:r>
      <w:r>
        <w:rPr>
          <w:rFonts w:hint="default" w:ascii="Segoe UI Historic" w:hAnsi="Segoe UI Historic" w:eastAsia="Calibri"/>
          <w:b w:val="0"/>
          <w:bCs/>
          <w:sz w:val="24"/>
          <w:lang w:eastAsia="en-US"/>
        </w:rPr>
        <w:fldChar w:fldCharType="begin"/>
      </w:r>
      <w:r>
        <w:rPr>
          <w:rFonts w:hint="default" w:ascii="Segoe UI Historic" w:hAnsi="Segoe UI Historic" w:eastAsia="Calibri"/>
          <w:b w:val="0"/>
          <w:bCs/>
          <w:sz w:val="24"/>
          <w:lang w:eastAsia="en-US"/>
        </w:rPr>
        <w:instrText xml:space="preserve"> HYPERLINK "mailto:dsadaf27@gmail.com" </w:instrText>
      </w:r>
      <w:r>
        <w:rPr>
          <w:rFonts w:hint="default" w:ascii="Segoe UI Historic" w:hAnsi="Segoe UI Historic" w:eastAsia="Calibri"/>
          <w:b w:val="0"/>
          <w:bCs/>
          <w:sz w:val="24"/>
          <w:lang w:eastAsia="en-US"/>
        </w:rPr>
        <w:fldChar w:fldCharType="separate"/>
      </w:r>
      <w:r>
        <w:rPr>
          <w:rStyle w:val="15"/>
          <w:rFonts w:hint="default" w:ascii="Segoe UI Historic" w:hAnsi="Segoe UI Historic" w:eastAsia="Calibri"/>
          <w:b w:val="0"/>
          <w:bCs/>
          <w:sz w:val="24"/>
          <w:lang w:eastAsia="en-US"/>
        </w:rPr>
        <w:t>dsadaf27@gmail.com</w:t>
      </w:r>
      <w:r>
        <w:rPr>
          <w:rFonts w:hint="default" w:ascii="Segoe UI Historic" w:hAnsi="Segoe UI Historic" w:eastAsia="Calibri"/>
          <w:b w:val="0"/>
          <w:bCs/>
          <w:sz w:val="24"/>
          <w:lang w:eastAsia="en-US"/>
        </w:rPr>
        <w:fldChar w:fldCharType="end"/>
      </w:r>
      <w:r>
        <w:rPr>
          <w:rFonts w:hint="default" w:ascii="Segoe UI Historic" w:hAnsi="Segoe UI Historic" w:eastAsia="Calibri"/>
          <w:b w:val="0"/>
          <w:bCs/>
          <w:sz w:val="24"/>
          <w:lang w:val="en-US" w:eastAsia="en-US"/>
        </w:rPr>
        <w:t xml:space="preserve"> </w:t>
      </w:r>
    </w:p>
    <w:p w14:paraId="5C2F8E4E">
      <w:pPr>
        <w:jc w:val="both"/>
        <w:rPr>
          <w:rFonts w:hint="default" w:ascii="Segoe UI Historic" w:hAnsi="Segoe UI Historic" w:eastAsia="Calibri"/>
          <w:b/>
          <w:sz w:val="24"/>
          <w:lang w:eastAsia="en-US"/>
        </w:rPr>
      </w:pPr>
      <w:r>
        <w:rPr>
          <w:rFonts w:hint="default" w:ascii="Segoe UI Historic" w:hAnsi="Segoe UI Historic" w:eastAsia="Calibri"/>
          <w:b/>
          <w:sz w:val="24"/>
          <w:lang w:eastAsia="en-US"/>
        </w:rPr>
        <w:t>Dr. Ashfaq Ahmad*</w:t>
      </w:r>
    </w:p>
    <w:p w14:paraId="66EC048B">
      <w:pPr>
        <w:jc w:val="both"/>
        <w:rPr>
          <w:rFonts w:hint="default" w:ascii="Segoe UI Historic" w:hAnsi="Segoe UI Historic" w:eastAsia="Calibri"/>
          <w:b w:val="0"/>
          <w:bCs/>
          <w:sz w:val="24"/>
          <w:lang w:val="en-US" w:eastAsia="en-US"/>
        </w:rPr>
      </w:pPr>
      <w:r>
        <w:rPr>
          <w:rFonts w:hint="default" w:ascii="Segoe UI Historic" w:hAnsi="Segoe UI Historic" w:eastAsia="Calibri"/>
          <w:b w:val="0"/>
          <w:bCs/>
          <w:sz w:val="24"/>
          <w:lang w:eastAsia="en-US"/>
        </w:rPr>
        <w:t>Department of Pharmacy, Sarhad University of Science and Information Technology, Peshawar, Pakistan. Corresponding Author Email:</w:t>
      </w:r>
      <w:r>
        <w:rPr>
          <w:rFonts w:hint="default" w:ascii="Segoe UI Historic" w:hAnsi="Segoe UI Historic" w:eastAsia="Calibri"/>
          <w:b/>
          <w:sz w:val="24"/>
          <w:lang w:eastAsia="en-US"/>
        </w:rPr>
        <w:t xml:space="preserve"> </w:t>
      </w:r>
      <w:r>
        <w:rPr>
          <w:rFonts w:hint="default" w:ascii="Segoe UI Historic" w:hAnsi="Segoe UI Historic" w:eastAsia="Calibri"/>
          <w:b w:val="0"/>
          <w:bCs/>
          <w:sz w:val="24"/>
          <w:lang w:eastAsia="en-US"/>
        </w:rPr>
        <w:fldChar w:fldCharType="begin"/>
      </w:r>
      <w:r>
        <w:rPr>
          <w:rFonts w:hint="default" w:ascii="Segoe UI Historic" w:hAnsi="Segoe UI Historic" w:eastAsia="Calibri"/>
          <w:b w:val="0"/>
          <w:bCs/>
          <w:sz w:val="24"/>
          <w:lang w:eastAsia="en-US"/>
        </w:rPr>
        <w:instrText xml:space="preserve"> HYPERLINK "mailto:ashfaq.fls@suit.edu.pk" </w:instrText>
      </w:r>
      <w:r>
        <w:rPr>
          <w:rFonts w:hint="default" w:ascii="Segoe UI Historic" w:hAnsi="Segoe UI Historic" w:eastAsia="Calibri"/>
          <w:b w:val="0"/>
          <w:bCs/>
          <w:sz w:val="24"/>
          <w:lang w:eastAsia="en-US"/>
        </w:rPr>
        <w:fldChar w:fldCharType="separate"/>
      </w:r>
      <w:r>
        <w:rPr>
          <w:rStyle w:val="15"/>
          <w:rFonts w:hint="default" w:ascii="Segoe UI Historic" w:hAnsi="Segoe UI Historic" w:eastAsia="Calibri"/>
          <w:b w:val="0"/>
          <w:bCs/>
          <w:sz w:val="24"/>
          <w:lang w:eastAsia="en-US"/>
        </w:rPr>
        <w:t>ashfaq.fls@suit.edu.pk</w:t>
      </w:r>
      <w:r>
        <w:rPr>
          <w:rFonts w:hint="default" w:ascii="Segoe UI Historic" w:hAnsi="Segoe UI Historic" w:eastAsia="Calibri"/>
          <w:b w:val="0"/>
          <w:bCs/>
          <w:sz w:val="24"/>
          <w:lang w:eastAsia="en-US"/>
        </w:rPr>
        <w:fldChar w:fldCharType="end"/>
      </w:r>
      <w:r>
        <w:rPr>
          <w:rFonts w:hint="default" w:ascii="Segoe UI Historic" w:hAnsi="Segoe UI Historic" w:eastAsia="Calibri"/>
          <w:b w:val="0"/>
          <w:bCs/>
          <w:sz w:val="24"/>
          <w:lang w:val="en-US" w:eastAsia="en-US"/>
        </w:rPr>
        <w:t xml:space="preserve">  </w:t>
      </w:r>
    </w:p>
    <w:p w14:paraId="38B1D43F">
      <w:pPr>
        <w:jc w:val="both"/>
        <w:rPr>
          <w:rFonts w:hint="default" w:ascii="Segoe UI Historic" w:hAnsi="Segoe UI Historic" w:eastAsia="Calibri"/>
          <w:b w:val="0"/>
          <w:bCs/>
          <w:sz w:val="24"/>
          <w:lang w:val="en-US" w:eastAsia="en-US"/>
        </w:rPr>
      </w:pPr>
    </w:p>
    <w:tbl>
      <w:tblPr>
        <w:tblStyle w:val="19"/>
        <w:tblpPr w:leftFromText="180" w:rightFromText="180" w:vertAnchor="text" w:horzAnchor="page" w:tblpX="4651" w:tblpY="5"/>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84"/>
      </w:tblGrid>
      <w:tr w14:paraId="6BB90D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84" w:type="dxa"/>
          </w:tcPr>
          <w:p w14:paraId="0837C333">
            <w:pPr>
              <w:widowControl w:val="0"/>
              <w:jc w:val="both"/>
              <w:rPr>
                <w:rFonts w:ascii="Segoe UI Historic" w:hAnsi="Segoe UI Historic" w:cs="Segoe UI Historic"/>
              </w:rPr>
            </w:pPr>
            <w:r>
              <w:rPr>
                <w:rFonts w:hint="default" w:ascii="Segoe UI Historic" w:hAnsi="Segoe UI Historic" w:eastAsia="Calibri"/>
                <w:b w:val="0"/>
                <w:bCs/>
                <w:sz w:val="24"/>
                <w:lang w:eastAsia="en-US"/>
              </w:rPr>
              <w:t xml:space="preserve"> </w:t>
            </w:r>
            <w:r>
              <w:rPr>
                <w:rFonts w:hint="default" w:ascii="Segoe UI Historic" w:hAnsi="Segoe UI Historic" w:eastAsia="Calibri"/>
                <w:b w:val="0"/>
                <w:bCs/>
                <w:sz w:val="24"/>
                <w:lang w:val="en-US" w:eastAsia="en-US"/>
              </w:rPr>
              <w:t xml:space="preserve">    </w:t>
            </w:r>
            <w:r>
              <w:rPr>
                <w:rFonts w:ascii="Segoe UI Historic" w:hAnsi="Segoe UI Historic" w:cs="Segoe UI Historic"/>
                <w:b/>
                <w:bCs/>
                <w:sz w:val="24"/>
                <w:szCs w:val="24"/>
              </w:rPr>
              <w:t>Abstract</w:t>
            </w:r>
          </w:p>
        </w:tc>
      </w:tr>
    </w:tbl>
    <w:tbl>
      <w:tblPr>
        <w:tblStyle w:val="19"/>
        <w:tblpPr w:leftFromText="180" w:rightFromText="180" w:vertAnchor="text" w:horzAnchor="page" w:tblpX="770" w:tblpY="85"/>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1F1F1" w:themeFill="background1" w:themeFillShade="F2"/>
        <w:tblLayout w:type="autofit"/>
        <w:tblCellMar>
          <w:top w:w="0" w:type="dxa"/>
          <w:left w:w="108" w:type="dxa"/>
          <w:bottom w:w="0" w:type="dxa"/>
          <w:right w:w="108" w:type="dxa"/>
        </w:tblCellMar>
      </w:tblPr>
      <w:tblGrid>
        <w:gridCol w:w="3607"/>
      </w:tblGrid>
      <w:tr w14:paraId="1144D1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07" w:type="dxa"/>
            <w:shd w:val="clear" w:color="auto" w:fill="F1F1F1" w:themeFill="background1" w:themeFillShade="F2"/>
          </w:tcPr>
          <w:p w14:paraId="5A6EB9AE">
            <w:pPr>
              <w:widowControl w:val="0"/>
              <w:jc w:val="center"/>
              <w:rPr>
                <w:rFonts w:ascii="Segoe UI Historic" w:hAnsi="Segoe UI Historic" w:cs="Segoe UI Historic"/>
              </w:rPr>
            </w:pPr>
            <w:r>
              <w:rPr>
                <w:rFonts w:ascii="Segoe UI Historic" w:hAnsi="Segoe UI Historic" w:cs="Segoe UI Historic"/>
                <w:b/>
                <w:bCs/>
                <w:sz w:val="24"/>
                <w:szCs w:val="24"/>
              </w:rPr>
              <w:t>Author Details</w:t>
            </w:r>
          </w:p>
        </w:tc>
      </w:tr>
      <w:tr w14:paraId="764ABA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rPr>
          <w:trHeight w:val="1195" w:hRule="atLeast"/>
        </w:trPr>
        <w:tc>
          <w:tcPr>
            <w:tcW w:w="3607" w:type="dxa"/>
            <w:shd w:val="clear" w:color="auto" w:fill="F1F1F1" w:themeFill="background1" w:themeFillShade="F2"/>
          </w:tcPr>
          <w:p w14:paraId="2474797B">
            <w:pPr>
              <w:widowControl/>
              <w:spacing w:after="40" w:line="260" w:lineRule="auto"/>
              <w:jc w:val="both"/>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pPr>
            <w:r>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t xml:space="preserve">Received on </w:t>
            </w:r>
            <w:r>
              <w:rPr>
                <w:rFonts w:hint="default" w:ascii="Segoe UI Historic" w:hAnsi="Segoe UI Historic" w:eastAsia="serif" w:cs="Segoe UI Historic"/>
                <w:b/>
                <w:bCs/>
                <w:color w:val="0D0D0D" w:themeColor="text1" w:themeTint="F2"/>
                <w:sz w:val="22"/>
                <w:szCs w:val="22"/>
                <w:shd w:val="clear" w:color="auto" w:fill="FFFFFF"/>
                <w:lang w:val="en-US"/>
                <w14:textFill>
                  <w14:solidFill>
                    <w14:schemeClr w14:val="tx1">
                      <w14:lumMod w14:val="95000"/>
                      <w14:lumOff w14:val="5000"/>
                    </w14:schemeClr>
                  </w14:solidFill>
                </w14:textFill>
              </w:rPr>
              <w:t xml:space="preserve">  05 March</w:t>
            </w:r>
            <w:r>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t>, 2026</w:t>
            </w:r>
          </w:p>
          <w:p w14:paraId="5CBD029F">
            <w:pPr>
              <w:widowControl/>
              <w:spacing w:after="40" w:line="260" w:lineRule="auto"/>
              <w:jc w:val="both"/>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pPr>
            <w:r>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t xml:space="preserve">Accepted on </w:t>
            </w:r>
            <w:r>
              <w:rPr>
                <w:rFonts w:hint="default" w:ascii="Segoe UI Historic" w:hAnsi="Segoe UI Historic" w:eastAsia="serif" w:cs="Segoe UI Historic"/>
                <w:b/>
                <w:bCs/>
                <w:color w:val="0D0D0D" w:themeColor="text1" w:themeTint="F2"/>
                <w:sz w:val="22"/>
                <w:szCs w:val="22"/>
                <w:shd w:val="clear" w:color="auto" w:fill="FFFFFF"/>
                <w:lang w:val="en-US"/>
                <w14:textFill>
                  <w14:solidFill>
                    <w14:schemeClr w14:val="tx1">
                      <w14:lumMod w14:val="95000"/>
                      <w14:lumOff w14:val="5000"/>
                    </w14:schemeClr>
                  </w14:solidFill>
                </w14:textFill>
              </w:rPr>
              <w:t xml:space="preserve"> 22</w:t>
            </w:r>
            <w:r>
              <w:rPr>
                <w:rFonts w:hint="default" w:ascii="Segoe UI Historic" w:hAnsi="Segoe UI Historic" w:eastAsia="serif" w:cs="Segoe UI Historic"/>
                <w:b/>
                <w:bCs/>
                <w:color w:val="0D0D0D" w:themeColor="text1" w:themeTint="F2"/>
                <w:sz w:val="22"/>
                <w:szCs w:val="22"/>
                <w:shd w:val="clear" w:color="auto" w:fill="FFFFFF"/>
                <w:lang w:val="en-GB"/>
                <w14:textFill>
                  <w14:solidFill>
                    <w14:schemeClr w14:val="tx1">
                      <w14:lumMod w14:val="95000"/>
                      <w14:lumOff w14:val="5000"/>
                    </w14:schemeClr>
                  </w14:solidFill>
                </w14:textFill>
              </w:rPr>
              <w:t xml:space="preserve"> </w:t>
            </w:r>
            <w:r>
              <w:rPr>
                <w:rFonts w:hint="default" w:ascii="Segoe UI Historic" w:hAnsi="Segoe UI Historic" w:eastAsia="serif" w:cs="Segoe UI Historic"/>
                <w:b/>
                <w:bCs/>
                <w:color w:val="0D0D0D" w:themeColor="text1" w:themeTint="F2"/>
                <w:sz w:val="22"/>
                <w:szCs w:val="22"/>
                <w:shd w:val="clear" w:color="auto" w:fill="FFFFFF"/>
                <w:lang w:val="en-US"/>
                <w14:textFill>
                  <w14:solidFill>
                    <w14:schemeClr w14:val="tx1">
                      <w14:lumMod w14:val="95000"/>
                      <w14:lumOff w14:val="5000"/>
                    </w14:schemeClr>
                  </w14:solidFill>
                </w14:textFill>
              </w:rPr>
              <w:t>March</w:t>
            </w:r>
            <w:r>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t>, 2026</w:t>
            </w:r>
          </w:p>
          <w:p w14:paraId="0E582FC9">
            <w:pPr>
              <w:widowControl w:val="0"/>
              <w:jc w:val="both"/>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pPr>
            <w:r>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t xml:space="preserve">Published on </w:t>
            </w:r>
            <w:r>
              <w:rPr>
                <w:rFonts w:hint="default" w:ascii="Segoe UI Historic" w:hAnsi="Segoe UI Historic" w:eastAsia="serif" w:cs="Segoe UI Historic"/>
                <w:b/>
                <w:bCs/>
                <w:color w:val="0D0D0D" w:themeColor="text1" w:themeTint="F2"/>
                <w:sz w:val="22"/>
                <w:szCs w:val="22"/>
                <w:shd w:val="clear" w:color="auto" w:fill="FFFFFF"/>
                <w:lang w:val="en-US"/>
                <w14:textFill>
                  <w14:solidFill>
                    <w14:schemeClr w14:val="tx1">
                      <w14:lumMod w14:val="95000"/>
                      <w14:lumOff w14:val="5000"/>
                    </w14:schemeClr>
                  </w14:solidFill>
                </w14:textFill>
              </w:rPr>
              <w:t xml:space="preserve"> 30</w:t>
            </w:r>
            <w:r>
              <w:rPr>
                <w:rFonts w:hint="default" w:ascii="Segoe UI Historic" w:hAnsi="Segoe UI Historic" w:eastAsia="serif" w:cs="Segoe UI Historic"/>
                <w:b/>
                <w:bCs/>
                <w:color w:val="0D0D0D" w:themeColor="text1" w:themeTint="F2"/>
                <w:sz w:val="22"/>
                <w:szCs w:val="22"/>
                <w:shd w:val="clear" w:color="auto" w:fill="FFFFFF"/>
                <w:lang w:val="en-GB"/>
                <w14:textFill>
                  <w14:solidFill>
                    <w14:schemeClr w14:val="tx1">
                      <w14:lumMod w14:val="95000"/>
                      <w14:lumOff w14:val="5000"/>
                    </w14:schemeClr>
                  </w14:solidFill>
                </w14:textFill>
              </w:rPr>
              <w:t xml:space="preserve"> </w:t>
            </w:r>
            <w:r>
              <w:rPr>
                <w:rFonts w:hint="default" w:ascii="Segoe UI Historic" w:hAnsi="Segoe UI Historic" w:eastAsia="serif" w:cs="Segoe UI Historic"/>
                <w:b/>
                <w:bCs/>
                <w:color w:val="0D0D0D" w:themeColor="text1" w:themeTint="F2"/>
                <w:sz w:val="22"/>
                <w:szCs w:val="22"/>
                <w:shd w:val="clear" w:color="auto" w:fill="FFFFFF"/>
                <w:lang w:val="en-US"/>
                <w14:textFill>
                  <w14:solidFill>
                    <w14:schemeClr w14:val="tx1">
                      <w14:lumMod w14:val="95000"/>
                      <w14:lumOff w14:val="5000"/>
                    </w14:schemeClr>
                  </w14:solidFill>
                </w14:textFill>
              </w:rPr>
              <w:t>March</w:t>
            </w:r>
            <w:r>
              <w:rPr>
                <w:rFonts w:ascii="Segoe UI Historic" w:hAnsi="Segoe UI Historic" w:eastAsia="serif" w:cs="Segoe UI Historic"/>
                <w:b/>
                <w:bCs/>
                <w:color w:val="0D0D0D" w:themeColor="text1" w:themeTint="F2"/>
                <w:sz w:val="22"/>
                <w:szCs w:val="22"/>
                <w:shd w:val="clear" w:color="auto" w:fill="FFFFFF"/>
                <w14:textFill>
                  <w14:solidFill>
                    <w14:schemeClr w14:val="tx1">
                      <w14:lumMod w14:val="95000"/>
                      <w14:lumOff w14:val="5000"/>
                    </w14:schemeClr>
                  </w14:solidFill>
                </w14:textFill>
              </w:rPr>
              <w:t>, 2026</w:t>
            </w:r>
          </w:p>
          <w:p w14:paraId="28318666">
            <w:pPr>
              <w:widowControl w:val="0"/>
              <w:jc w:val="both"/>
              <w:rPr>
                <w:rFonts w:ascii="Segoe UI Historic" w:hAnsi="Segoe UI Historic" w:eastAsia="serif" w:cs="Segoe UI Historic"/>
                <w:b/>
                <w:bCs/>
                <w:color w:val="0D0D0D" w:themeColor="text1" w:themeTint="F2"/>
                <w:sz w:val="22"/>
                <w:szCs w:val="22"/>
                <w:shd w:val="clear" w:color="auto" w:fill="FFFFFF"/>
                <w:lang w:eastAsia="en-US"/>
                <w14:textFill>
                  <w14:solidFill>
                    <w14:schemeClr w14:val="tx1">
                      <w14:lumMod w14:val="95000"/>
                      <w14:lumOff w14:val="5000"/>
                    </w14:schemeClr>
                  </w14:solidFill>
                </w14:textFill>
              </w:rPr>
            </w:pPr>
          </w:p>
        </w:tc>
      </w:tr>
      <w:tr w14:paraId="76A671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rPr>
          <w:trHeight w:val="434" w:hRule="atLeast"/>
        </w:trPr>
        <w:tc>
          <w:tcPr>
            <w:tcW w:w="3607" w:type="dxa"/>
            <w:shd w:val="clear" w:color="auto" w:fill="F1F1F1" w:themeFill="background1" w:themeFillShade="F2"/>
          </w:tcPr>
          <w:p w14:paraId="3C1A27BD">
            <w:pPr>
              <w:widowControl/>
              <w:spacing w:after="40" w:line="260" w:lineRule="auto"/>
              <w:ind w:right="80"/>
              <w:jc w:val="left"/>
              <w:rPr>
                <w:rFonts w:ascii="Segoe UI Historic" w:hAnsi="Segoe UI Historic" w:eastAsia="Calibri" w:cs="Segoe UI Historic"/>
                <w:bCs/>
                <w:lang w:eastAsia="en-US"/>
              </w:rPr>
            </w:pPr>
            <w:r>
              <w:rPr>
                <w:rFonts w:ascii="Segoe UI Historic" w:hAnsi="Segoe UI Historic" w:eastAsia="serif" w:cs="Segoe UI Historic"/>
                <w:b/>
                <w:bCs/>
                <w:color w:val="0D0D0D" w:themeColor="text1" w:themeTint="F2"/>
                <w:szCs w:val="24"/>
                <w:shd w:val="clear" w:color="auto" w:fill="FFFFFF"/>
                <w14:textFill>
                  <w14:solidFill>
                    <w14:schemeClr w14:val="tx1">
                      <w14:lumMod w14:val="95000"/>
                      <w14:lumOff w14:val="5000"/>
                    </w14:schemeClr>
                  </w14:solidFill>
                </w14:textFill>
              </w:rPr>
              <w:t>Corresponding E-mails &amp; Authors*:</w:t>
            </w:r>
            <w:r>
              <w:rPr>
                <w:rFonts w:ascii="Segoe UI Historic" w:hAnsi="Segoe UI Historic" w:eastAsia="Calibri" w:cs="Segoe UI Historic"/>
                <w:bCs/>
                <w:lang w:eastAsia="en-US"/>
              </w:rPr>
              <w:t xml:space="preserve">    </w:t>
            </w:r>
          </w:p>
          <w:p w14:paraId="72B7D712">
            <w:pPr>
              <w:widowControl/>
              <w:spacing w:after="40" w:line="260" w:lineRule="auto"/>
              <w:ind w:right="80"/>
              <w:jc w:val="left"/>
              <w:rPr>
                <w:rFonts w:hint="default" w:ascii="Segoe UI Historic" w:hAnsi="Segoe UI Historic" w:eastAsia="Calibri" w:cs="Segoe UI Historic"/>
                <w:bCs/>
                <w:lang w:val="en-US" w:eastAsia="en-US"/>
              </w:rPr>
            </w:pPr>
            <w:r>
              <w:rPr>
                <w:rFonts w:hint="default" w:ascii="Segoe UI Historic" w:hAnsi="Segoe UI Historic" w:eastAsia="Calibri" w:cs="Segoe UI Historic"/>
                <w:bCs/>
                <w:lang w:val="en-US" w:eastAsia="en-US"/>
              </w:rPr>
              <w:t>Dr. Ashfaq Ahmad</w:t>
            </w:r>
          </w:p>
          <w:p w14:paraId="55B6B737">
            <w:pPr>
              <w:widowControl/>
              <w:spacing w:after="40" w:line="260" w:lineRule="auto"/>
              <w:ind w:right="80"/>
              <w:jc w:val="left"/>
              <w:rPr>
                <w:rFonts w:hint="default" w:ascii="Segoe UI Historic" w:hAnsi="Segoe UI Historic" w:eastAsia="Calibri" w:cs="Segoe UI Historic"/>
                <w:bCs/>
                <w:lang w:val="en-US" w:eastAsia="en-US"/>
              </w:rPr>
            </w:pPr>
            <w:r>
              <w:rPr>
                <w:rFonts w:hint="default" w:ascii="Segoe UI Historic" w:hAnsi="Segoe UI Historic" w:eastAsia="Calibri" w:cs="Segoe UI Historic"/>
                <w:bCs/>
                <w:lang w:val="en-US" w:eastAsia="en-US"/>
              </w:rPr>
              <w:fldChar w:fldCharType="begin"/>
            </w:r>
            <w:r>
              <w:rPr>
                <w:rFonts w:hint="default" w:ascii="Segoe UI Historic" w:hAnsi="Segoe UI Historic" w:eastAsia="Calibri" w:cs="Segoe UI Historic"/>
                <w:bCs/>
                <w:lang w:val="en-US" w:eastAsia="en-US"/>
              </w:rPr>
              <w:instrText xml:space="preserve"> HYPERLINK "mailto:ashfaq.fls@suitedu.pk" </w:instrText>
            </w:r>
            <w:r>
              <w:rPr>
                <w:rFonts w:hint="default" w:ascii="Segoe UI Historic" w:hAnsi="Segoe UI Historic" w:eastAsia="Calibri" w:cs="Segoe UI Historic"/>
                <w:bCs/>
                <w:lang w:val="en-US" w:eastAsia="en-US"/>
              </w:rPr>
              <w:fldChar w:fldCharType="separate"/>
            </w:r>
            <w:r>
              <w:rPr>
                <w:rStyle w:val="15"/>
                <w:rFonts w:hint="default" w:ascii="Segoe UI Historic" w:hAnsi="Segoe UI Historic" w:eastAsia="Calibri" w:cs="Segoe UI Historic"/>
                <w:bCs/>
                <w:lang w:val="en-US" w:eastAsia="en-US"/>
              </w:rPr>
              <w:t>ashfaq.fls@suitedu.pk</w:t>
            </w:r>
            <w:r>
              <w:rPr>
                <w:rFonts w:hint="default" w:ascii="Segoe UI Historic" w:hAnsi="Segoe UI Historic" w:eastAsia="Calibri" w:cs="Segoe UI Historic"/>
                <w:bCs/>
                <w:lang w:val="en-US" w:eastAsia="en-US"/>
              </w:rPr>
              <w:fldChar w:fldCharType="end"/>
            </w:r>
            <w:r>
              <w:rPr>
                <w:rFonts w:hint="default" w:ascii="Segoe UI Historic" w:hAnsi="Segoe UI Historic" w:eastAsia="Calibri" w:cs="Segoe UI Historic"/>
                <w:bCs/>
                <w:lang w:val="en-US" w:eastAsia="en-US"/>
              </w:rPr>
              <w:t xml:space="preserve"> </w:t>
            </w:r>
          </w:p>
        </w:tc>
      </w:tr>
    </w:tbl>
    <w:p w14:paraId="415B9CB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Segoe UI Historic" w:hAnsi="Segoe UI Historic" w:cs="Segoe UI Historic"/>
          <w:b/>
          <w:bCs/>
          <w:sz w:val="24"/>
          <w:szCs w:val="24"/>
        </w:rPr>
      </w:pPr>
    </w:p>
    <w:p w14:paraId="77FC27E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Background</w:t>
      </w:r>
      <w:r>
        <w:rPr>
          <w:rFonts w:hint="default" w:ascii="Segoe UI Historic" w:hAnsi="Segoe UI Historic" w:cs="Segoe UI Historic"/>
          <w:sz w:val="24"/>
          <w:szCs w:val="24"/>
        </w:rPr>
        <w:t>: Hypertension is the leading modifiable cause of cardiovascular death, and its burden is rising fastest in low- and middle-income countries such as Pakistan. In hospitalised patients with multiple comorbidities, antihypertensive polypharmacy increases the risk of drug-related problems (DRPs), yet local data from tertiary care settings in Khyber Pakhtunkhwa are scarce.</w:t>
      </w:r>
      <w:r>
        <w:rPr>
          <w:rFonts w:hint="default" w:ascii="Segoe UI Historic" w:hAnsi="Segoe UI Historic" w:cs="Segoe UI Historic"/>
          <w:sz w:val="24"/>
          <w:szCs w:val="24"/>
          <w:lang w:val="en-US"/>
        </w:rPr>
        <w:t xml:space="preserve"> </w:t>
      </w:r>
      <w:r>
        <w:rPr>
          <w:rFonts w:hint="default" w:ascii="Segoe UI Historic" w:hAnsi="Segoe UI Historic" w:cs="Segoe UI Historic"/>
          <w:b/>
          <w:bCs/>
          <w:sz w:val="24"/>
          <w:szCs w:val="24"/>
        </w:rPr>
        <w:t>Objective</w:t>
      </w:r>
      <w:r>
        <w:rPr>
          <w:rFonts w:hint="default" w:ascii="Segoe UI Historic" w:hAnsi="Segoe UI Historic" w:cs="Segoe UI Historic"/>
          <w:sz w:val="24"/>
          <w:szCs w:val="24"/>
        </w:rPr>
        <w:t>: To describe the demographic and clinical profile, antihypertensive prescribing pattern, comorbidity burden and drug-related problems among patients admitted with hypertension to a tertiary care hospital in Peshawar.</w:t>
      </w:r>
      <w:r>
        <w:rPr>
          <w:rFonts w:hint="default" w:ascii="Segoe UI Historic" w:hAnsi="Segoe UI Historic" w:cs="Segoe UI Historic"/>
          <w:sz w:val="24"/>
          <w:szCs w:val="24"/>
          <w:lang w:val="en-US"/>
        </w:rPr>
        <w:t xml:space="preserve"> </w:t>
      </w:r>
      <w:r>
        <w:rPr>
          <w:rFonts w:hint="default" w:ascii="Segoe UI Historic" w:hAnsi="Segoe UI Historic" w:cs="Segoe UI Historic"/>
          <w:b/>
          <w:bCs/>
          <w:sz w:val="24"/>
          <w:szCs w:val="24"/>
        </w:rPr>
        <w:t>Methods</w:t>
      </w:r>
      <w:r>
        <w:rPr>
          <w:rFonts w:hint="default" w:ascii="Segoe UI Historic" w:hAnsi="Segoe UI Historic" w:cs="Segoe UI Historic"/>
          <w:sz w:val="24"/>
          <w:szCs w:val="24"/>
        </w:rPr>
        <w:t>: A single-centre, cross-sectional study was conducted over a 45-day period at Lady Reading Hospital, Peshawar. Fifty consecutively admitted patients aged 30–90 years with a diagnosis of hypertension were enrolled using a pre-designed data-collection proforma. Demographic data, prescribed medicines, comorbidities and DRPs (potential drug–drug interactions, adverse drug reactions and dosing errors) were recorded and analysed descriptively; proportions are reported with 95% confidence intervals (CIs).</w:t>
      </w:r>
      <w:r>
        <w:rPr>
          <w:rFonts w:hint="default" w:ascii="Segoe UI Historic" w:hAnsi="Segoe UI Historic" w:cs="Segoe UI Historic"/>
          <w:sz w:val="24"/>
          <w:szCs w:val="24"/>
          <w:lang w:val="en-US"/>
        </w:rPr>
        <w:t xml:space="preserve"> </w:t>
      </w:r>
      <w:r>
        <w:rPr>
          <w:rFonts w:hint="default" w:ascii="Segoe UI Historic" w:hAnsi="Segoe UI Historic" w:cs="Segoe UI Historic"/>
          <w:b/>
          <w:bCs/>
          <w:sz w:val="24"/>
          <w:szCs w:val="24"/>
        </w:rPr>
        <w:t>Results</w:t>
      </w:r>
      <w:r>
        <w:rPr>
          <w:rFonts w:hint="default" w:ascii="Segoe UI Historic" w:hAnsi="Segoe UI Historic" w:cs="Segoe UI Historic"/>
          <w:sz w:val="24"/>
          <w:szCs w:val="24"/>
        </w:rPr>
        <w:t>: The cohort was predominantly female (32/50; 64%, 95% CI 50.1–75.9) and middle-aged to elderly, with the largest group aged 51–60 years (26%). Most patients (31/50; 62%, 95% CI 48.2–74.1) were referred from districts outside Peshawar. The most frequently prescribed cardiovascular medicines were furosemide (74%), aspirin (60%), clopidogrel (60%), ramipril (48%), amlodipine (42%) and nifedipine (36%). Diabetes mellitus (20%), heart failure (15%) and chronic kidney disease (15%) were the commonest comorbidities. At least one potential drug–drug interaction was identified in 8 patients (16%, 95% CI 8.3–28.5), an adverse drug reaction in 5 (10%, 95% CI 4.3–21.4) and a dosing error in 3 (6%, 95% CI 2.1–16.2). Recurrent interacting pairs included renin–angiotensin blockers with calcium-channel blockers, clopidogrel with omeprazole, aspirin or non-steroidal anti-inflammatory drugs with furosemide, and antiplatelet with anticoagulant combinations.</w:t>
      </w:r>
      <w:r>
        <w:rPr>
          <w:rFonts w:hint="default" w:ascii="Segoe UI Historic" w:hAnsi="Segoe UI Historic" w:cs="Segoe UI Historic"/>
          <w:sz w:val="24"/>
          <w:szCs w:val="24"/>
          <w:lang w:val="en-US"/>
        </w:rPr>
        <w:t xml:space="preserve"> </w:t>
      </w:r>
      <w:r>
        <w:rPr>
          <w:rFonts w:hint="default" w:ascii="Segoe UI Historic" w:hAnsi="Segoe UI Historic" w:cs="Segoe UI Historic"/>
          <w:b/>
          <w:bCs/>
          <w:sz w:val="24"/>
          <w:szCs w:val="24"/>
        </w:rPr>
        <w:t>Conclusion</w:t>
      </w:r>
      <w:r>
        <w:rPr>
          <w:rFonts w:hint="default" w:ascii="Segoe UI Historic" w:hAnsi="Segoe UI Historic" w:cs="Segoe UI Historic"/>
          <w:sz w:val="24"/>
          <w:szCs w:val="24"/>
        </w:rPr>
        <w:t>: Antihypertensive prescribing in this tertiary care cohort was frequently guideline-discordant and accompanied by a substantial burden of preventable drug-related problems. Integration of clinical pharmacists into ward teams and routine interaction screening may improve prescribing quality and patient safety.</w:t>
      </w:r>
    </w:p>
    <w:p w14:paraId="22552DB9">
      <w:pPr>
        <w:keepNext w:val="0"/>
        <w:keepLines w:val="0"/>
        <w:pageBreakBefore w:val="0"/>
        <w:widowControl/>
        <w:kinsoku/>
        <w:wordWrap/>
        <w:overflowPunct/>
        <w:topLinePunct w:val="0"/>
        <w:autoSpaceDE/>
        <w:autoSpaceDN/>
        <w:bidi w:val="0"/>
        <w:adjustRightInd/>
        <w:snapToGrid/>
        <w:spacing w:before="0" w:line="240" w:lineRule="auto"/>
        <w:ind w:left="0" w:right="0" w:firstLine="0"/>
        <w:jc w:val="both"/>
        <w:textAlignment w:val="auto"/>
        <w:rPr>
          <w:rFonts w:hint="default" w:ascii="Segoe UI Historic" w:hAnsi="Segoe UI Historic" w:eastAsia="Times New Roman" w:cs="Segoe UI Historic"/>
          <w:sz w:val="24"/>
          <w:szCs w:val="24"/>
          <w:lang w:val="en-GB"/>
        </w:rPr>
      </w:pPr>
      <w:r>
        <w:rPr>
          <w:rFonts w:hint="default" w:ascii="Segoe UI Historic" w:hAnsi="Segoe UI Historic" w:cs="Segoe UI Historic"/>
          <w:b/>
          <w:bCs/>
          <w:sz w:val="24"/>
          <w:szCs w:val="24"/>
        </w:rPr>
        <w:t xml:space="preserve">Keywords: </w:t>
      </w:r>
      <w:r>
        <w:rPr>
          <w:rFonts w:hint="default" w:ascii="Segoe UI Historic" w:hAnsi="Segoe UI Historic" w:cs="Segoe UI Historic"/>
          <w:sz w:val="24"/>
          <w:szCs w:val="24"/>
        </w:rPr>
        <w:t>Hypertension; Antihypertensive Agents; Drug Interactions; Drug-Related Side Effects and Adverse Reactions; Inappropriate Prescribing; Pharmacists; Pakistan.</w:t>
      </w:r>
    </w:p>
    <w:p w14:paraId="121A2C40">
      <w:pPr>
        <w:pStyle w:val="2"/>
        <w:keepNext/>
        <w:keepLines w:val="0"/>
        <w:pageBreakBefore w:val="0"/>
        <w:widowControl/>
        <w:kinsoku/>
        <w:wordWrap/>
        <w:overflowPunct/>
        <w:topLinePunct w:val="0"/>
        <w:autoSpaceDE/>
        <w:autoSpaceDN/>
        <w:bidi w:val="0"/>
        <w:adjustRightInd/>
        <w:snapToGrid/>
        <w:spacing w:before="0" w:beforeAutospacing="0" w:after="0" w:afterAutospacing="0" w:line="240" w:lineRule="auto"/>
        <w:ind w:left="0"/>
        <w:textAlignment w:val="auto"/>
        <w:rPr>
          <w:rFonts w:hint="default" w:ascii="Segoe UI Historic" w:hAnsi="Segoe UI Historic" w:cs="Segoe UI Historic"/>
          <w:color w:val="auto"/>
          <w:sz w:val="24"/>
          <w:szCs w:val="24"/>
        </w:rPr>
      </w:pPr>
      <w:r>
        <w:rPr>
          <w:rFonts w:hint="default" w:ascii="Segoe UI Historic" w:hAnsi="Segoe UI Historic" w:cs="Segoe UI Historic"/>
          <w:b/>
          <w:bCs/>
          <w:color w:val="auto"/>
          <w:sz w:val="24"/>
          <w:szCs w:val="24"/>
        </w:rPr>
        <w:t>INTRODUCTION</w:t>
      </w:r>
    </w:p>
    <w:p w14:paraId="4D840472">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Hypertension is the single most important modifiable risk factor for cardiovascular disease and premature death worldwide. Between 1990 and 2019 the number of adults aged 30–79 years living with hypertension doubled from an estimated 650 million to 1.28 billion, with the age-standardised prevalence remaining close to one-third of adults (32% in women and 34% in men).</w:t>
      </w:r>
      <w:r>
        <w:rPr>
          <w:rFonts w:hint="default" w:ascii="Segoe UI Historic" w:hAnsi="Segoe UI Historic" w:cs="Segoe UI Historic"/>
          <w:sz w:val="24"/>
          <w:szCs w:val="24"/>
          <w:vertAlign w:val="superscript"/>
        </w:rPr>
        <w:t>1</w:t>
      </w:r>
      <w:r>
        <w:rPr>
          <w:rFonts w:hint="default" w:ascii="Segoe UI Historic" w:hAnsi="Segoe UI Historic" w:cs="Segoe UI Historic"/>
          <w:sz w:val="24"/>
          <w:szCs w:val="24"/>
        </w:rPr>
        <w:t xml:space="preserve"> The great majority of this burden now falls on low- and middle-income countries, where health-system constraints translate into low rates of detection, treatment and control.</w:t>
      </w:r>
      <w:r>
        <w:rPr>
          <w:rFonts w:hint="default" w:ascii="Segoe UI Historic" w:hAnsi="Segoe UI Historic" w:cs="Segoe UI Historic"/>
          <w:sz w:val="24"/>
          <w:szCs w:val="24"/>
          <w:vertAlign w:val="superscript"/>
        </w:rPr>
        <w:t>1,2</w:t>
      </w:r>
      <w:r>
        <w:rPr>
          <w:rFonts w:hint="default" w:ascii="Segoe UI Historic" w:hAnsi="Segoe UI Historic" w:cs="Segoe UI Historic"/>
          <w:sz w:val="24"/>
          <w:szCs w:val="24"/>
        </w:rPr>
        <w:t xml:space="preserve"> Persistently raised blood pressure drives ischaemic heart disease, heart failure, stroke and chronic kidney disease, and cardiovascular disease remains the leading global cause of mortality.</w:t>
      </w:r>
      <w:r>
        <w:rPr>
          <w:rFonts w:hint="default" w:ascii="Segoe UI Historic" w:hAnsi="Segoe UI Historic" w:cs="Segoe UI Historic"/>
          <w:sz w:val="24"/>
          <w:szCs w:val="24"/>
          <w:vertAlign w:val="superscript"/>
        </w:rPr>
        <w:t>3</w:t>
      </w:r>
    </w:p>
    <w:p w14:paraId="3B2A0F59">
      <w:pPr>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Contemporary guidelines have progressively lowered diagnostic and treatment thresholds and standardised first-line pharmacotherapy. The 2017 American College of Cardiology/American Heart Association guideline defines hypertension as a blood pressure of 130/80 mmHg or higher,</w:t>
      </w:r>
      <w:r>
        <w:rPr>
          <w:rFonts w:hint="default" w:ascii="Segoe UI Historic" w:hAnsi="Segoe UI Historic" w:cs="Segoe UI Historic"/>
          <w:sz w:val="24"/>
          <w:szCs w:val="24"/>
          <w:vertAlign w:val="superscript"/>
        </w:rPr>
        <w:t>4</w:t>
      </w:r>
      <w:r>
        <w:rPr>
          <w:rFonts w:hint="default" w:ascii="Segoe UI Historic" w:hAnsi="Segoe UI Historic" w:cs="Segoe UI Historic"/>
          <w:sz w:val="24"/>
          <w:szCs w:val="24"/>
        </w:rPr>
        <w:t xml:space="preserve"> while the 2018 European and 2020 International Society of Hypertension guidelines endorse renin–angiotensin system blockers (angiotensin-converting enzyme inhibitors or angiotensin-receptor blockers), calcium-channel blockers and thiazide-type diuretics as preferred agents, ideally in single-pill combinations.</w:t>
      </w:r>
      <w:r>
        <w:rPr>
          <w:rFonts w:hint="default" w:ascii="Segoe UI Historic" w:hAnsi="Segoe UI Historic" w:cs="Segoe UI Historic"/>
          <w:sz w:val="24"/>
          <w:szCs w:val="24"/>
          <w:vertAlign w:val="superscript"/>
        </w:rPr>
        <w:t>5,6,7</w:t>
      </w:r>
      <w:r>
        <w:rPr>
          <w:rFonts w:hint="default" w:ascii="Segoe UI Historic" w:hAnsi="Segoe UI Historic" w:cs="Segoe UI Historic"/>
          <w:sz w:val="24"/>
          <w:szCs w:val="24"/>
        </w:rPr>
        <w:t xml:space="preserve"> Rational selection among these classes, informed by comorbidity and interaction potential, is central to safe and effective care.</w:t>
      </w:r>
    </w:p>
    <w:p w14:paraId="396617E0">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In Pakistan the epidemiological picture is concerning and imprecisely quantified. The last national STEPS survey reported a prevalence of about 18.9% among adults over 15 years, whereas the community-based second National Diabetes Survey of Pakistan (2016–17) recorded a markedly higher prevalence of 46.2%.</w:t>
      </w:r>
      <w:r>
        <w:rPr>
          <w:rFonts w:hint="default" w:ascii="Segoe UI Historic" w:hAnsi="Segoe UI Historic" w:cs="Segoe UI Historic"/>
          <w:sz w:val="24"/>
          <w:szCs w:val="24"/>
          <w:vertAlign w:val="superscript"/>
        </w:rPr>
        <w:t>8,9</w:t>
      </w:r>
      <w:r>
        <w:rPr>
          <w:rFonts w:hint="default" w:ascii="Segoe UI Historic" w:hAnsi="Segoe UI Historic" w:cs="Segoe UI Historic"/>
          <w:sz w:val="24"/>
          <w:szCs w:val="24"/>
        </w:rPr>
        <w:t xml:space="preserve"> A meta-analysis of 37 Pakistani studies identified older age, gender, obesity, physical inactivity and diabetes as the factors most consistently associated with hypertension,</w:t>
      </w:r>
      <w:r>
        <w:rPr>
          <w:rFonts w:hint="default" w:ascii="Segoe UI Historic" w:hAnsi="Segoe UI Historic" w:cs="Segoe UI Historic"/>
          <w:sz w:val="24"/>
          <w:szCs w:val="24"/>
          <w:vertAlign w:val="superscript"/>
        </w:rPr>
        <w:t>10</w:t>
      </w:r>
      <w:r>
        <w:rPr>
          <w:rFonts w:hint="default" w:ascii="Segoe UI Historic" w:hAnsi="Segoe UI Historic" w:cs="Segoe UI Historic"/>
          <w:sz w:val="24"/>
          <w:szCs w:val="24"/>
        </w:rPr>
        <w:t xml:space="preserve"> and national reviews highlight poor awareness, low treatment adherence and control rates as low as 3% as persistent barriers to care.</w:t>
      </w:r>
      <w:r>
        <w:rPr>
          <w:rFonts w:hint="default" w:ascii="Segoe UI Historic" w:hAnsi="Segoe UI Historic" w:cs="Segoe UI Historic"/>
          <w:sz w:val="24"/>
          <w:szCs w:val="24"/>
          <w:vertAlign w:val="superscript"/>
        </w:rPr>
        <w:t>11</w:t>
      </w:r>
    </w:p>
    <w:p w14:paraId="2746BC29">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Prescribing practice compounds these gaps. Systematic evaluation of antihypertensive prescribing across low- and middle-income countries, including Pakistan, has shown limited adherence to national or international guidelines and frequent departure from cost-effective first-line therapy.</w:t>
      </w:r>
      <w:r>
        <w:rPr>
          <w:rFonts w:hint="default" w:ascii="Segoe UI Historic" w:hAnsi="Segoe UI Historic" w:cs="Segoe UI Historic"/>
          <w:sz w:val="24"/>
          <w:szCs w:val="24"/>
          <w:vertAlign w:val="superscript"/>
        </w:rPr>
        <w:t>12,13</w:t>
      </w:r>
      <w:r>
        <w:rPr>
          <w:rFonts w:hint="default" w:ascii="Segoe UI Historic" w:hAnsi="Segoe UI Historic" w:cs="Segoe UI Historic"/>
          <w:sz w:val="24"/>
          <w:szCs w:val="24"/>
        </w:rPr>
        <w:t xml:space="preserve"> In parallel, patients admitted to tertiary care commonly carry several comorbidities and receive multiple concurrent medicines, exposing them to potential drug–drug interactions, adverse drug reactions and dosing errors. Hospital-based studies from Pakistan have reported potential interactions in roughly one in five outpatient prescriptions and in a substantially higher proportion of admitted patients.</w:t>
      </w:r>
      <w:r>
        <w:rPr>
          <w:rFonts w:hint="default" w:ascii="Segoe UI Historic" w:hAnsi="Segoe UI Historic" w:cs="Segoe UI Historic"/>
          <w:sz w:val="24"/>
          <w:szCs w:val="24"/>
          <w:vertAlign w:val="superscript"/>
        </w:rPr>
        <w:t>14,15</w:t>
      </w:r>
      <w:r>
        <w:rPr>
          <w:rFonts w:hint="default" w:ascii="Segoe UI Historic" w:hAnsi="Segoe UI Historic" w:cs="Segoe UI Historic"/>
          <w:sz w:val="24"/>
          <w:szCs w:val="24"/>
        </w:rPr>
        <w:t xml:space="preserve"> Despite this, granular data describing antihypertensive prescribing and the associated burden of drug-related problems in tertiary care settings of Khyber Pakhtunkhwa remain sparse.</w:t>
      </w:r>
    </w:p>
    <w:p w14:paraId="00577904">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present study was undertaken to address that gap. Its objectives were to characterise the demographic and clinical profile of patients admitted with hypertension to a tertiary care hospital in Peshawar, to describe the pattern of antihypertensive and concurrent cardiovascular prescribing, to define the comorbidity burden, and to identify the frequency and nature of drug-related problems. By mapping these problems, the study aims to inform ward-level medication-safety interventions and clinical-pharmacy practice in a resource-limited setting.</w:t>
      </w:r>
    </w:p>
    <w:p w14:paraId="438CE98F">
      <w:pPr>
        <w:rPr>
          <w:rFonts w:hint="default" w:ascii="Segoe UI Historic" w:hAnsi="Segoe UI Historic" w:cs="Segoe UI Historic"/>
          <w:b/>
          <w:bCs/>
          <w:color w:val="auto"/>
          <w:sz w:val="24"/>
          <w:szCs w:val="24"/>
        </w:rPr>
      </w:pPr>
      <w:r>
        <w:rPr>
          <w:rFonts w:hint="default" w:ascii="Segoe UI Historic" w:hAnsi="Segoe UI Historic" w:cs="Segoe UI Historic"/>
          <w:b/>
          <w:bCs/>
          <w:color w:val="auto"/>
          <w:sz w:val="24"/>
          <w:szCs w:val="24"/>
        </w:rPr>
        <w:br w:type="page"/>
      </w:r>
    </w:p>
    <w:p w14:paraId="54AB2D31">
      <w:pPr>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Segoe UI Historic" w:hAnsi="Segoe UI Historic" w:cs="Segoe UI Historic"/>
          <w:b/>
          <w:bCs/>
          <w:color w:val="auto"/>
          <w:sz w:val="24"/>
          <w:szCs w:val="24"/>
        </w:rPr>
      </w:pPr>
      <w:r>
        <w:rPr>
          <w:rFonts w:hint="default" w:ascii="Segoe UI Historic" w:hAnsi="Segoe UI Historic" w:cs="Segoe UI Historic"/>
          <w:b/>
          <w:bCs/>
          <w:color w:val="auto"/>
          <w:sz w:val="24"/>
          <w:szCs w:val="24"/>
        </w:rPr>
        <w:t>METHODS</w:t>
      </w:r>
    </w:p>
    <w:p w14:paraId="44FBCD4F">
      <w:pPr>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Segoe UI Historic" w:hAnsi="Segoe UI Historic" w:cs="Segoe UI Historic"/>
          <w:b/>
          <w:bCs/>
          <w:i w:val="0"/>
          <w:iCs w:val="0"/>
          <w:sz w:val="24"/>
          <w:szCs w:val="24"/>
          <w:u w:val="none"/>
        </w:rPr>
      </w:pPr>
      <w:r>
        <w:rPr>
          <w:rFonts w:hint="default" w:ascii="Segoe UI Historic" w:hAnsi="Segoe UI Historic" w:cs="Segoe UI Historic"/>
          <w:b/>
          <w:bCs/>
          <w:i w:val="0"/>
          <w:iCs w:val="0"/>
          <w:sz w:val="24"/>
          <w:szCs w:val="24"/>
          <w:u w:val="none"/>
        </w:rPr>
        <w:t>Study design and reporting</w:t>
      </w:r>
    </w:p>
    <w:p w14:paraId="1BC92FF8">
      <w:pPr>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This was a single-centre, hospital-based, cross-sectional study of patients admitted with hypertension. The study is reported in accordance with the STROBE (Strengthening the Reporting of Observational Studies in Epidemiology) statement for cross-sectional studies.</w:t>
      </w:r>
    </w:p>
    <w:p w14:paraId="767F5895">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Study setting and duration</w:t>
      </w:r>
    </w:p>
    <w:p w14:paraId="76554C28">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study was conducted in the medical wards of Lady Reading Hospital, a Medical Teaching Institution and major tertiary care referral centre in Peshawar, Khyber Pakhtunkhwa, Pakistan, over a 45-day period. Data were collected on a daily basis from the point of admission until discharge.</w:t>
      </w:r>
    </w:p>
    <w:p w14:paraId="7F630DEE">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Study population and eligibility</w:t>
      </w:r>
    </w:p>
    <w:p w14:paraId="0EBC2469">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Consecutive adult patients admitted with a physician-confirmed diagnosis of hypertension were screened for eligibility. Patients aged 30 to 90 years were included. Patients older than 90 years were excluded. A total of 50 eligible patients were enrolled.</w:t>
      </w:r>
    </w:p>
    <w:p w14:paraId="32BC0987">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Data collection</w:t>
      </w:r>
    </w:p>
    <w:p w14:paraId="4E1753A6">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Data were collected prospectively using a standardised, pre-designed patient-history and medication-review proforma. For each patient the proforma captured demographic details (age, sex, area of residence), presenting complaints, admission diagnosis, comorbidities, past medical and surgical history, complete inpatient medication orders (brand and generic name, dose, frequency, route and duration) and available laboratory investigations. Medication records were reviewed against the patient’s clinical and biochemical profile to identify drug-related problems, comprising potential drug–drug interactions, adverse drug reactions, dosing errors (overdose or sub-therapeutic dose), incorrect route, contraindicated drugs, and the need for renal or hepatic dose adjustment.</w:t>
      </w:r>
    </w:p>
    <w:p w14:paraId="7E0B61DD">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Operational definitions</w:t>
      </w:r>
    </w:p>
    <w:p w14:paraId="6172EDFE">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 potential drug–drug interaction was defined as the co-prescription of two agents with a recognised pharmacokinetic or pharmacodynamic interaction of clinical relevance. An adverse drug reaction was defined as a noxious and unintended response to a medicine at normal doses. A dosing error denoted a prescribed dose above or below the accepted therapeutic range for the indication and patient. Interactions and their potential clinical consequences were characterised with reference to standard drug-information sources.</w:t>
      </w:r>
    </w:p>
    <w:p w14:paraId="6BFE6103">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Statistical analysis</w:t>
      </w:r>
    </w:p>
    <w:p w14:paraId="7BB8B7B6">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Data were entered and analysed using spreadsheet software. Categorical variables are summarised as frequencies and percentages, and continuous or grouped variables as counts within categories. For the principal proportions, 95% confidence intervals were calculated using the Wilson score method. No inferential hypothesis testing was performed, consistent with the descriptive design. There were no missing data for the core prescribing and DRP variables.</w:t>
      </w:r>
    </w:p>
    <w:p w14:paraId="3349A0CF">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Ethical considerations</w:t>
      </w:r>
    </w:p>
    <w:p w14:paraId="35F16EE2">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study protocol was approved by the institutional ethical review committee of Lady Reading Hospital, Peshawar. The study involved review of routinely generated clinical records; patient confidentiality was maintained throughout, and data were anonymised prior to analysis. Informed consent was obtained in accordance with institutional requirements.</w:t>
      </w:r>
    </w:p>
    <w:p w14:paraId="3D6A540B">
      <w:pPr>
        <w:pStyle w:val="2"/>
        <w:keepNext/>
        <w:keepLines w:val="0"/>
        <w:pageBreakBefore w:val="0"/>
        <w:widowControl/>
        <w:kinsoku/>
        <w:wordWrap/>
        <w:overflowPunct/>
        <w:topLinePunct w:val="0"/>
        <w:autoSpaceDE/>
        <w:autoSpaceDN/>
        <w:bidi w:val="0"/>
        <w:adjustRightInd/>
        <w:snapToGrid/>
        <w:spacing w:before="0" w:beforeAutospacing="0" w:after="0" w:afterAutospacing="0" w:line="240" w:lineRule="auto"/>
        <w:ind w:left="0"/>
        <w:textAlignment w:val="auto"/>
        <w:rPr>
          <w:rFonts w:hint="default" w:ascii="Segoe UI Historic" w:hAnsi="Segoe UI Historic" w:cs="Segoe UI Historic"/>
          <w:color w:val="auto"/>
          <w:sz w:val="24"/>
          <w:szCs w:val="24"/>
        </w:rPr>
      </w:pPr>
      <w:r>
        <w:rPr>
          <w:rFonts w:hint="default" w:ascii="Segoe UI Historic" w:hAnsi="Segoe UI Historic" w:cs="Segoe UI Historic"/>
          <w:b/>
          <w:bCs/>
          <w:color w:val="auto"/>
          <w:sz w:val="24"/>
          <w:szCs w:val="24"/>
        </w:rPr>
        <w:t>RESULTS</w:t>
      </w:r>
    </w:p>
    <w:p w14:paraId="729C35D2">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Fifty patients admitted with hypertension were studied. Their demographic characteristics are summarised in Table 1. The cohort was predominantly female (32/50; 64%), giving a female-to-male ratio of approximately 1.8:1. Patients spanned the fourth to the tenth decades of life, with the single largest group aged 51–60 years (13/50; 26%); patients aged 71–90 years and 31–40 years accounted for a further 22% and 20%, respectively. Most patients (31/50; 62%) were referred from districts of Khyber Pakhtunkhwa outside Peshawar, underscoring the hospital’s role as a regional referral centre.</w:t>
      </w:r>
    </w:p>
    <w:p w14:paraId="608BBE05">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b/>
          <w:bCs/>
          <w:i/>
          <w:iCs/>
          <w:sz w:val="24"/>
          <w:szCs w:val="24"/>
        </w:rPr>
      </w:pPr>
      <w:r>
        <w:rPr>
          <w:rFonts w:hint="default" w:ascii="Segoe UI Historic" w:hAnsi="Segoe UI Historic" w:cs="Segoe UI Historic"/>
          <w:b/>
          <w:bCs/>
          <w:i w:val="0"/>
          <w:iCs w:val="0"/>
          <w:sz w:val="24"/>
          <w:szCs w:val="24"/>
        </w:rPr>
        <w:t xml:space="preserve">Table 1. </w:t>
      </w:r>
      <w:r>
        <w:rPr>
          <w:rFonts w:hint="default" w:ascii="Segoe UI Historic" w:hAnsi="Segoe UI Historic" w:cs="Segoe UI Historic"/>
          <w:b/>
          <w:bCs/>
          <w:i/>
          <w:iCs/>
          <w:sz w:val="24"/>
          <w:szCs w:val="24"/>
        </w:rPr>
        <w:t>Demographic characteristics of patients admitted with hypertension (n = 50).</w:t>
      </w:r>
    </w:p>
    <w:tbl>
      <w:tblPr>
        <w:tblStyle w:val="7"/>
        <w:tblW w:w="4998" w:type="pct"/>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 w:type="dxa"/>
          <w:bottom w:w="0" w:type="dxa"/>
          <w:right w:w="10" w:type="dxa"/>
        </w:tblCellMar>
      </w:tblPr>
      <w:tblGrid>
        <w:gridCol w:w="2446"/>
        <w:gridCol w:w="3118"/>
        <w:gridCol w:w="1019"/>
        <w:gridCol w:w="1324"/>
        <w:gridCol w:w="1629"/>
      </w:tblGrid>
      <w:tr w14:paraId="4DD1EA1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blHeader/>
        </w:trPr>
        <w:tc>
          <w:tcPr>
            <w:tcW w:w="1282"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0970E9D6">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Characteristic</w:t>
            </w:r>
          </w:p>
        </w:tc>
        <w:tc>
          <w:tcPr>
            <w:tcW w:w="163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55B1DF1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Category</w:t>
            </w:r>
          </w:p>
        </w:tc>
        <w:tc>
          <w:tcPr>
            <w:tcW w:w="53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4ADA64D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n</w:t>
            </w:r>
          </w:p>
        </w:tc>
        <w:tc>
          <w:tcPr>
            <w:tcW w:w="69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07950372">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w:t>
            </w:r>
          </w:p>
        </w:tc>
        <w:tc>
          <w:tcPr>
            <w:tcW w:w="85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44D7C3F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95% CI</w:t>
            </w:r>
          </w:p>
        </w:tc>
      </w:tr>
      <w:tr w14:paraId="3E1100E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tcBorders>
              <w:top w:val="single" w:color="auto" w:sz="4" w:space="0"/>
            </w:tcBorders>
            <w:shd w:val="clear" w:color="auto" w:fill="auto"/>
            <w:tcMar>
              <w:top w:w="40" w:type="dxa"/>
              <w:left w:w="90" w:type="dxa"/>
              <w:bottom w:w="40" w:type="dxa"/>
              <w:right w:w="90" w:type="dxa"/>
            </w:tcMar>
            <w:vAlign w:val="center"/>
          </w:tcPr>
          <w:p w14:paraId="7C2E7353">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Sex</w:t>
            </w:r>
          </w:p>
        </w:tc>
        <w:tc>
          <w:tcPr>
            <w:tcW w:w="1634" w:type="pct"/>
            <w:tcBorders>
              <w:top w:val="single" w:color="auto" w:sz="4" w:space="0"/>
            </w:tcBorders>
            <w:shd w:val="clear" w:color="auto" w:fill="auto"/>
            <w:tcMar>
              <w:top w:w="40" w:type="dxa"/>
              <w:left w:w="90" w:type="dxa"/>
              <w:bottom w:w="40" w:type="dxa"/>
              <w:right w:w="90" w:type="dxa"/>
            </w:tcMar>
            <w:vAlign w:val="center"/>
          </w:tcPr>
          <w:p w14:paraId="4EBAC98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Female</w:t>
            </w:r>
          </w:p>
        </w:tc>
        <w:tc>
          <w:tcPr>
            <w:tcW w:w="534" w:type="pct"/>
            <w:tcBorders>
              <w:top w:val="single" w:color="auto" w:sz="4" w:space="0"/>
            </w:tcBorders>
            <w:shd w:val="clear" w:color="auto" w:fill="auto"/>
            <w:tcMar>
              <w:top w:w="40" w:type="dxa"/>
              <w:left w:w="90" w:type="dxa"/>
              <w:bottom w:w="40" w:type="dxa"/>
              <w:right w:w="90" w:type="dxa"/>
            </w:tcMar>
            <w:vAlign w:val="center"/>
          </w:tcPr>
          <w:p w14:paraId="128C076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32</w:t>
            </w:r>
          </w:p>
        </w:tc>
        <w:tc>
          <w:tcPr>
            <w:tcW w:w="694" w:type="pct"/>
            <w:tcBorders>
              <w:top w:val="single" w:color="auto" w:sz="4" w:space="0"/>
            </w:tcBorders>
            <w:shd w:val="clear" w:color="auto" w:fill="auto"/>
            <w:tcMar>
              <w:top w:w="40" w:type="dxa"/>
              <w:left w:w="90" w:type="dxa"/>
              <w:bottom w:w="40" w:type="dxa"/>
              <w:right w:w="90" w:type="dxa"/>
            </w:tcMar>
            <w:vAlign w:val="center"/>
          </w:tcPr>
          <w:p w14:paraId="4C8CD7B3">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64.0</w:t>
            </w:r>
          </w:p>
        </w:tc>
        <w:tc>
          <w:tcPr>
            <w:tcW w:w="854" w:type="pct"/>
            <w:tcBorders>
              <w:top w:val="single" w:color="auto" w:sz="4" w:space="0"/>
            </w:tcBorders>
            <w:shd w:val="clear" w:color="auto" w:fill="auto"/>
            <w:tcMar>
              <w:top w:w="40" w:type="dxa"/>
              <w:left w:w="90" w:type="dxa"/>
              <w:bottom w:w="40" w:type="dxa"/>
              <w:right w:w="90" w:type="dxa"/>
            </w:tcMar>
            <w:vAlign w:val="center"/>
          </w:tcPr>
          <w:p w14:paraId="32C4086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50.1–75.9</w:t>
            </w:r>
          </w:p>
        </w:tc>
      </w:tr>
      <w:tr w14:paraId="574F3BE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382E4CD6">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p>
        </w:tc>
        <w:tc>
          <w:tcPr>
            <w:tcW w:w="1634" w:type="pct"/>
            <w:shd w:val="clear" w:color="auto" w:fill="auto"/>
            <w:tcMar>
              <w:top w:w="40" w:type="dxa"/>
              <w:left w:w="90" w:type="dxa"/>
              <w:bottom w:w="40" w:type="dxa"/>
              <w:right w:w="90" w:type="dxa"/>
            </w:tcMar>
            <w:vAlign w:val="center"/>
          </w:tcPr>
          <w:p w14:paraId="0044041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Male</w:t>
            </w:r>
          </w:p>
        </w:tc>
        <w:tc>
          <w:tcPr>
            <w:tcW w:w="534" w:type="pct"/>
            <w:shd w:val="clear" w:color="auto" w:fill="auto"/>
            <w:tcMar>
              <w:top w:w="40" w:type="dxa"/>
              <w:left w:w="90" w:type="dxa"/>
              <w:bottom w:w="40" w:type="dxa"/>
              <w:right w:w="90" w:type="dxa"/>
            </w:tcMar>
            <w:vAlign w:val="center"/>
          </w:tcPr>
          <w:p w14:paraId="4680257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18</w:t>
            </w:r>
          </w:p>
        </w:tc>
        <w:tc>
          <w:tcPr>
            <w:tcW w:w="694" w:type="pct"/>
            <w:shd w:val="clear" w:color="auto" w:fill="auto"/>
            <w:tcMar>
              <w:top w:w="40" w:type="dxa"/>
              <w:left w:w="90" w:type="dxa"/>
              <w:bottom w:w="40" w:type="dxa"/>
              <w:right w:w="90" w:type="dxa"/>
            </w:tcMar>
            <w:vAlign w:val="center"/>
          </w:tcPr>
          <w:p w14:paraId="6E63AD5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36.0</w:t>
            </w:r>
          </w:p>
        </w:tc>
        <w:tc>
          <w:tcPr>
            <w:tcW w:w="854" w:type="pct"/>
            <w:shd w:val="clear" w:color="auto" w:fill="auto"/>
            <w:tcMar>
              <w:top w:w="40" w:type="dxa"/>
              <w:left w:w="90" w:type="dxa"/>
              <w:bottom w:w="40" w:type="dxa"/>
              <w:right w:w="90" w:type="dxa"/>
            </w:tcMar>
            <w:vAlign w:val="center"/>
          </w:tcPr>
          <w:p w14:paraId="2F8E74D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24.1–49.9</w:t>
            </w:r>
          </w:p>
        </w:tc>
      </w:tr>
      <w:tr w14:paraId="1D1DF0B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63D40AF9">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Age group (years)</w:t>
            </w:r>
          </w:p>
        </w:tc>
        <w:tc>
          <w:tcPr>
            <w:tcW w:w="1634" w:type="pct"/>
            <w:shd w:val="clear" w:color="auto" w:fill="auto"/>
            <w:tcMar>
              <w:top w:w="40" w:type="dxa"/>
              <w:left w:w="90" w:type="dxa"/>
              <w:bottom w:w="40" w:type="dxa"/>
              <w:right w:w="90" w:type="dxa"/>
            </w:tcMar>
            <w:vAlign w:val="center"/>
          </w:tcPr>
          <w:p w14:paraId="3FC4B50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31–40</w:t>
            </w:r>
          </w:p>
        </w:tc>
        <w:tc>
          <w:tcPr>
            <w:tcW w:w="534" w:type="pct"/>
            <w:shd w:val="clear" w:color="auto" w:fill="auto"/>
            <w:tcMar>
              <w:top w:w="40" w:type="dxa"/>
              <w:left w:w="90" w:type="dxa"/>
              <w:bottom w:w="40" w:type="dxa"/>
              <w:right w:w="90" w:type="dxa"/>
            </w:tcMar>
            <w:vAlign w:val="center"/>
          </w:tcPr>
          <w:p w14:paraId="0D07A83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w:t>
            </w:r>
          </w:p>
        </w:tc>
        <w:tc>
          <w:tcPr>
            <w:tcW w:w="694" w:type="pct"/>
            <w:shd w:val="clear" w:color="auto" w:fill="auto"/>
            <w:tcMar>
              <w:top w:w="40" w:type="dxa"/>
              <w:left w:w="90" w:type="dxa"/>
              <w:bottom w:w="40" w:type="dxa"/>
              <w:right w:w="90" w:type="dxa"/>
            </w:tcMar>
            <w:vAlign w:val="center"/>
          </w:tcPr>
          <w:p w14:paraId="4298FB1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20.0</w:t>
            </w:r>
          </w:p>
        </w:tc>
        <w:tc>
          <w:tcPr>
            <w:tcW w:w="854" w:type="pct"/>
            <w:shd w:val="clear" w:color="auto" w:fill="auto"/>
            <w:tcMar>
              <w:top w:w="40" w:type="dxa"/>
              <w:left w:w="90" w:type="dxa"/>
              <w:bottom w:w="40" w:type="dxa"/>
              <w:right w:w="90" w:type="dxa"/>
            </w:tcMar>
            <w:vAlign w:val="center"/>
          </w:tcPr>
          <w:p w14:paraId="7AA8B2B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w:t>
            </w:r>
          </w:p>
        </w:tc>
      </w:tr>
      <w:tr w14:paraId="1A4C4E9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60B08BD1">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p>
        </w:tc>
        <w:tc>
          <w:tcPr>
            <w:tcW w:w="1634" w:type="pct"/>
            <w:shd w:val="clear" w:color="auto" w:fill="auto"/>
            <w:tcMar>
              <w:top w:w="40" w:type="dxa"/>
              <w:left w:w="90" w:type="dxa"/>
              <w:bottom w:w="40" w:type="dxa"/>
              <w:right w:w="90" w:type="dxa"/>
            </w:tcMar>
            <w:vAlign w:val="center"/>
          </w:tcPr>
          <w:p w14:paraId="55B79A7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41–50</w:t>
            </w:r>
          </w:p>
        </w:tc>
        <w:tc>
          <w:tcPr>
            <w:tcW w:w="534" w:type="pct"/>
            <w:shd w:val="clear" w:color="auto" w:fill="auto"/>
            <w:tcMar>
              <w:top w:w="40" w:type="dxa"/>
              <w:left w:w="90" w:type="dxa"/>
              <w:bottom w:w="40" w:type="dxa"/>
              <w:right w:w="90" w:type="dxa"/>
            </w:tcMar>
            <w:vAlign w:val="center"/>
          </w:tcPr>
          <w:p w14:paraId="58021EE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8</w:t>
            </w:r>
          </w:p>
        </w:tc>
        <w:tc>
          <w:tcPr>
            <w:tcW w:w="694" w:type="pct"/>
            <w:shd w:val="clear" w:color="auto" w:fill="auto"/>
            <w:tcMar>
              <w:top w:w="40" w:type="dxa"/>
              <w:left w:w="90" w:type="dxa"/>
              <w:bottom w:w="40" w:type="dxa"/>
              <w:right w:w="90" w:type="dxa"/>
            </w:tcMar>
            <w:vAlign w:val="center"/>
          </w:tcPr>
          <w:p w14:paraId="39744C1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16.0</w:t>
            </w:r>
          </w:p>
        </w:tc>
        <w:tc>
          <w:tcPr>
            <w:tcW w:w="854" w:type="pct"/>
            <w:shd w:val="clear" w:color="auto" w:fill="auto"/>
            <w:tcMar>
              <w:top w:w="40" w:type="dxa"/>
              <w:left w:w="90" w:type="dxa"/>
              <w:bottom w:w="40" w:type="dxa"/>
              <w:right w:w="90" w:type="dxa"/>
            </w:tcMar>
            <w:vAlign w:val="center"/>
          </w:tcPr>
          <w:p w14:paraId="321815F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w:t>
            </w:r>
          </w:p>
        </w:tc>
      </w:tr>
      <w:tr w14:paraId="43F39E0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5B43E375">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p>
        </w:tc>
        <w:tc>
          <w:tcPr>
            <w:tcW w:w="1634" w:type="pct"/>
            <w:shd w:val="clear" w:color="auto" w:fill="auto"/>
            <w:tcMar>
              <w:top w:w="40" w:type="dxa"/>
              <w:left w:w="90" w:type="dxa"/>
              <w:bottom w:w="40" w:type="dxa"/>
              <w:right w:w="90" w:type="dxa"/>
            </w:tcMar>
            <w:vAlign w:val="center"/>
          </w:tcPr>
          <w:p w14:paraId="1C71D8E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51–60</w:t>
            </w:r>
          </w:p>
        </w:tc>
        <w:tc>
          <w:tcPr>
            <w:tcW w:w="534" w:type="pct"/>
            <w:shd w:val="clear" w:color="auto" w:fill="auto"/>
            <w:tcMar>
              <w:top w:w="40" w:type="dxa"/>
              <w:left w:w="90" w:type="dxa"/>
              <w:bottom w:w="40" w:type="dxa"/>
              <w:right w:w="90" w:type="dxa"/>
            </w:tcMar>
            <w:vAlign w:val="center"/>
          </w:tcPr>
          <w:p w14:paraId="1F3BA02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13</w:t>
            </w:r>
          </w:p>
        </w:tc>
        <w:tc>
          <w:tcPr>
            <w:tcW w:w="694" w:type="pct"/>
            <w:shd w:val="clear" w:color="auto" w:fill="auto"/>
            <w:tcMar>
              <w:top w:w="40" w:type="dxa"/>
              <w:left w:w="90" w:type="dxa"/>
              <w:bottom w:w="40" w:type="dxa"/>
              <w:right w:w="90" w:type="dxa"/>
            </w:tcMar>
            <w:vAlign w:val="center"/>
          </w:tcPr>
          <w:p w14:paraId="3841E47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26.0</w:t>
            </w:r>
          </w:p>
        </w:tc>
        <w:tc>
          <w:tcPr>
            <w:tcW w:w="854" w:type="pct"/>
            <w:shd w:val="clear" w:color="auto" w:fill="auto"/>
            <w:tcMar>
              <w:top w:w="40" w:type="dxa"/>
              <w:left w:w="90" w:type="dxa"/>
              <w:bottom w:w="40" w:type="dxa"/>
              <w:right w:w="90" w:type="dxa"/>
            </w:tcMar>
            <w:vAlign w:val="center"/>
          </w:tcPr>
          <w:p w14:paraId="7C3CC21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w:t>
            </w:r>
          </w:p>
        </w:tc>
      </w:tr>
      <w:tr w14:paraId="36F2F93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6EBACE30">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p>
        </w:tc>
        <w:tc>
          <w:tcPr>
            <w:tcW w:w="1634" w:type="pct"/>
            <w:shd w:val="clear" w:color="auto" w:fill="auto"/>
            <w:tcMar>
              <w:top w:w="40" w:type="dxa"/>
              <w:left w:w="90" w:type="dxa"/>
              <w:bottom w:w="40" w:type="dxa"/>
              <w:right w:w="90" w:type="dxa"/>
            </w:tcMar>
            <w:vAlign w:val="center"/>
          </w:tcPr>
          <w:p w14:paraId="1CDAA87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61–70</w:t>
            </w:r>
          </w:p>
        </w:tc>
        <w:tc>
          <w:tcPr>
            <w:tcW w:w="534" w:type="pct"/>
            <w:shd w:val="clear" w:color="auto" w:fill="auto"/>
            <w:tcMar>
              <w:top w:w="40" w:type="dxa"/>
              <w:left w:w="90" w:type="dxa"/>
              <w:bottom w:w="40" w:type="dxa"/>
              <w:right w:w="90" w:type="dxa"/>
            </w:tcMar>
            <w:vAlign w:val="center"/>
          </w:tcPr>
          <w:p w14:paraId="404CE61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8</w:t>
            </w:r>
          </w:p>
        </w:tc>
        <w:tc>
          <w:tcPr>
            <w:tcW w:w="694" w:type="pct"/>
            <w:shd w:val="clear" w:color="auto" w:fill="auto"/>
            <w:tcMar>
              <w:top w:w="40" w:type="dxa"/>
              <w:left w:w="90" w:type="dxa"/>
              <w:bottom w:w="40" w:type="dxa"/>
              <w:right w:w="90" w:type="dxa"/>
            </w:tcMar>
            <w:vAlign w:val="center"/>
          </w:tcPr>
          <w:p w14:paraId="1EF444C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16.0</w:t>
            </w:r>
          </w:p>
        </w:tc>
        <w:tc>
          <w:tcPr>
            <w:tcW w:w="854" w:type="pct"/>
            <w:shd w:val="clear" w:color="auto" w:fill="auto"/>
            <w:tcMar>
              <w:top w:w="40" w:type="dxa"/>
              <w:left w:w="90" w:type="dxa"/>
              <w:bottom w:w="40" w:type="dxa"/>
              <w:right w:w="90" w:type="dxa"/>
            </w:tcMar>
            <w:vAlign w:val="center"/>
          </w:tcPr>
          <w:p w14:paraId="47843FBC">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w:t>
            </w:r>
          </w:p>
        </w:tc>
      </w:tr>
      <w:tr w14:paraId="362FA42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781E457E">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p>
        </w:tc>
        <w:tc>
          <w:tcPr>
            <w:tcW w:w="1634" w:type="pct"/>
            <w:shd w:val="clear" w:color="auto" w:fill="auto"/>
            <w:tcMar>
              <w:top w:w="40" w:type="dxa"/>
              <w:left w:w="90" w:type="dxa"/>
              <w:bottom w:w="40" w:type="dxa"/>
              <w:right w:w="90" w:type="dxa"/>
            </w:tcMar>
            <w:vAlign w:val="center"/>
          </w:tcPr>
          <w:p w14:paraId="55F36CC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71–90</w:t>
            </w:r>
          </w:p>
        </w:tc>
        <w:tc>
          <w:tcPr>
            <w:tcW w:w="534" w:type="pct"/>
            <w:shd w:val="clear" w:color="auto" w:fill="auto"/>
            <w:tcMar>
              <w:top w:w="40" w:type="dxa"/>
              <w:left w:w="90" w:type="dxa"/>
              <w:bottom w:w="40" w:type="dxa"/>
              <w:right w:w="90" w:type="dxa"/>
            </w:tcMar>
            <w:vAlign w:val="center"/>
          </w:tcPr>
          <w:p w14:paraId="72AE90C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11</w:t>
            </w:r>
          </w:p>
        </w:tc>
        <w:tc>
          <w:tcPr>
            <w:tcW w:w="694" w:type="pct"/>
            <w:shd w:val="clear" w:color="auto" w:fill="auto"/>
            <w:tcMar>
              <w:top w:w="40" w:type="dxa"/>
              <w:left w:w="90" w:type="dxa"/>
              <w:bottom w:w="40" w:type="dxa"/>
              <w:right w:w="90" w:type="dxa"/>
            </w:tcMar>
            <w:vAlign w:val="center"/>
          </w:tcPr>
          <w:p w14:paraId="126178E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22.0</w:t>
            </w:r>
          </w:p>
        </w:tc>
        <w:tc>
          <w:tcPr>
            <w:tcW w:w="854" w:type="pct"/>
            <w:shd w:val="clear" w:color="auto" w:fill="auto"/>
            <w:tcMar>
              <w:top w:w="40" w:type="dxa"/>
              <w:left w:w="90" w:type="dxa"/>
              <w:bottom w:w="40" w:type="dxa"/>
              <w:right w:w="90" w:type="dxa"/>
            </w:tcMar>
            <w:vAlign w:val="center"/>
          </w:tcPr>
          <w:p w14:paraId="6A121DD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w:t>
            </w:r>
          </w:p>
        </w:tc>
      </w:tr>
      <w:tr w14:paraId="02A6F88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shd w:val="clear" w:color="auto" w:fill="auto"/>
            <w:tcMar>
              <w:top w:w="40" w:type="dxa"/>
              <w:left w:w="90" w:type="dxa"/>
              <w:bottom w:w="40" w:type="dxa"/>
              <w:right w:w="90" w:type="dxa"/>
            </w:tcMar>
            <w:vAlign w:val="center"/>
          </w:tcPr>
          <w:p w14:paraId="0B110709">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Area of residence</w:t>
            </w:r>
          </w:p>
        </w:tc>
        <w:tc>
          <w:tcPr>
            <w:tcW w:w="1634" w:type="pct"/>
            <w:shd w:val="clear" w:color="auto" w:fill="auto"/>
            <w:tcMar>
              <w:top w:w="40" w:type="dxa"/>
              <w:left w:w="90" w:type="dxa"/>
              <w:bottom w:w="40" w:type="dxa"/>
              <w:right w:w="90" w:type="dxa"/>
            </w:tcMar>
            <w:vAlign w:val="center"/>
          </w:tcPr>
          <w:p w14:paraId="4EF2638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Peshawar</w:t>
            </w:r>
          </w:p>
        </w:tc>
        <w:tc>
          <w:tcPr>
            <w:tcW w:w="534" w:type="pct"/>
            <w:shd w:val="clear" w:color="auto" w:fill="auto"/>
            <w:tcMar>
              <w:top w:w="40" w:type="dxa"/>
              <w:left w:w="90" w:type="dxa"/>
              <w:bottom w:w="40" w:type="dxa"/>
              <w:right w:w="90" w:type="dxa"/>
            </w:tcMar>
            <w:vAlign w:val="center"/>
          </w:tcPr>
          <w:p w14:paraId="77697E1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19</w:t>
            </w:r>
          </w:p>
        </w:tc>
        <w:tc>
          <w:tcPr>
            <w:tcW w:w="694" w:type="pct"/>
            <w:shd w:val="clear" w:color="auto" w:fill="auto"/>
            <w:tcMar>
              <w:top w:w="40" w:type="dxa"/>
              <w:left w:w="90" w:type="dxa"/>
              <w:bottom w:w="40" w:type="dxa"/>
              <w:right w:w="90" w:type="dxa"/>
            </w:tcMar>
            <w:vAlign w:val="center"/>
          </w:tcPr>
          <w:p w14:paraId="1188BAB2">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38.0</w:t>
            </w:r>
          </w:p>
        </w:tc>
        <w:tc>
          <w:tcPr>
            <w:tcW w:w="854" w:type="pct"/>
            <w:shd w:val="clear" w:color="auto" w:fill="auto"/>
            <w:tcMar>
              <w:top w:w="40" w:type="dxa"/>
              <w:left w:w="90" w:type="dxa"/>
              <w:bottom w:w="40" w:type="dxa"/>
              <w:right w:w="90" w:type="dxa"/>
            </w:tcMar>
            <w:vAlign w:val="center"/>
          </w:tcPr>
          <w:p w14:paraId="3B7704F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25.9–51.9</w:t>
            </w:r>
          </w:p>
        </w:tc>
      </w:tr>
      <w:tr w14:paraId="601DB94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1282" w:type="pct"/>
            <w:tcBorders>
              <w:bottom w:val="single" w:color="auto" w:sz="4" w:space="0"/>
            </w:tcBorders>
            <w:shd w:val="clear" w:color="auto" w:fill="auto"/>
            <w:tcMar>
              <w:top w:w="40" w:type="dxa"/>
              <w:left w:w="90" w:type="dxa"/>
              <w:bottom w:w="40" w:type="dxa"/>
              <w:right w:w="90" w:type="dxa"/>
            </w:tcMar>
            <w:vAlign w:val="center"/>
          </w:tcPr>
          <w:p w14:paraId="4CFD272D">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p>
        </w:tc>
        <w:tc>
          <w:tcPr>
            <w:tcW w:w="1634" w:type="pct"/>
            <w:tcBorders>
              <w:bottom w:val="single" w:color="auto" w:sz="4" w:space="0"/>
            </w:tcBorders>
            <w:shd w:val="clear" w:color="auto" w:fill="auto"/>
            <w:tcMar>
              <w:top w:w="40" w:type="dxa"/>
              <w:left w:w="90" w:type="dxa"/>
              <w:bottom w:w="40" w:type="dxa"/>
              <w:right w:w="90" w:type="dxa"/>
            </w:tcMar>
            <w:vAlign w:val="center"/>
          </w:tcPr>
          <w:p w14:paraId="0B77BC8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Other Khyber Pakhtunkhwa</w:t>
            </w:r>
          </w:p>
        </w:tc>
        <w:tc>
          <w:tcPr>
            <w:tcW w:w="534" w:type="pct"/>
            <w:tcBorders>
              <w:bottom w:val="single" w:color="auto" w:sz="4" w:space="0"/>
            </w:tcBorders>
            <w:shd w:val="clear" w:color="auto" w:fill="auto"/>
            <w:tcMar>
              <w:top w:w="40" w:type="dxa"/>
              <w:left w:w="90" w:type="dxa"/>
              <w:bottom w:w="40" w:type="dxa"/>
              <w:right w:w="90" w:type="dxa"/>
            </w:tcMar>
            <w:vAlign w:val="center"/>
          </w:tcPr>
          <w:p w14:paraId="03A80B4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31</w:t>
            </w:r>
          </w:p>
        </w:tc>
        <w:tc>
          <w:tcPr>
            <w:tcW w:w="694" w:type="pct"/>
            <w:tcBorders>
              <w:bottom w:val="single" w:color="auto" w:sz="4" w:space="0"/>
            </w:tcBorders>
            <w:shd w:val="clear" w:color="auto" w:fill="auto"/>
            <w:tcMar>
              <w:top w:w="40" w:type="dxa"/>
              <w:left w:w="90" w:type="dxa"/>
              <w:bottom w:w="40" w:type="dxa"/>
              <w:right w:w="90" w:type="dxa"/>
            </w:tcMar>
            <w:vAlign w:val="center"/>
          </w:tcPr>
          <w:p w14:paraId="1BFAA65C">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62.0</w:t>
            </w:r>
          </w:p>
        </w:tc>
        <w:tc>
          <w:tcPr>
            <w:tcW w:w="854" w:type="pct"/>
            <w:tcBorders>
              <w:bottom w:val="single" w:color="auto" w:sz="4" w:space="0"/>
            </w:tcBorders>
            <w:shd w:val="clear" w:color="auto" w:fill="auto"/>
            <w:tcMar>
              <w:top w:w="40" w:type="dxa"/>
              <w:left w:w="90" w:type="dxa"/>
              <w:bottom w:w="40" w:type="dxa"/>
              <w:right w:w="90" w:type="dxa"/>
            </w:tcMar>
            <w:vAlign w:val="center"/>
          </w:tcPr>
          <w:p w14:paraId="180C4A2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48.2–74.1</w:t>
            </w:r>
          </w:p>
        </w:tc>
      </w:tr>
    </w:tbl>
    <w:p w14:paraId="6CFBA83B">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i/>
          <w:iCs/>
          <w:sz w:val="24"/>
          <w:szCs w:val="24"/>
        </w:rPr>
        <w:t>CI, confidence interval (Wilson score method). Note: the source dataset listed overlapping age bands (“40–50” and “40–59”); these have been presented as non-overlapping decade bands consistent with the underlying frequencies and the study narrative.</w:t>
      </w:r>
    </w:p>
    <w:p w14:paraId="25342CEB">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Antihypertensive and concurrent cardiovascular prescribing is presented in Table 2. Loop diuretic therapy with furosemide was the most frequently prescribed agent, given to 37 patients (74%), followed by the antiplatelet agents aspirin and clopidogrel (each 60%). Among agents acting directly on blood pressure, the angiotensin-converting enzyme inhibitor ramipril (48%) and the calcium-channel blockers amlodipine (42%) and nifedipine (36%) predominated, whereas angiotensin-receptor blockers (valsartan 22%, losartan 10%), the beta-blocker nebivolol (24%) and the aldosterone antagonist spironolactone (24%) were used less often. The frequent co-prescription of antiplatelet agents, low-molecular-weight heparin (enoxaparin, 42%) and nitrates (glyceryl trinitrate, 20%) reflects the high prevalence of concomitant ischaemic heart disease in the cohort.</w:t>
      </w:r>
    </w:p>
    <w:p w14:paraId="1749A158">
      <w:pPr>
        <w:keepNext/>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b/>
          <w:bCs/>
          <w:i/>
          <w:iCs/>
          <w:sz w:val="24"/>
          <w:szCs w:val="24"/>
        </w:rPr>
      </w:pPr>
      <w:r>
        <w:rPr>
          <w:rFonts w:hint="default" w:ascii="Segoe UI Historic" w:hAnsi="Segoe UI Historic" w:cs="Segoe UI Historic"/>
          <w:b/>
          <w:bCs/>
          <w:i w:val="0"/>
          <w:iCs w:val="0"/>
          <w:sz w:val="24"/>
          <w:szCs w:val="24"/>
        </w:rPr>
        <w:t xml:space="preserve">Table 2. </w:t>
      </w:r>
      <w:r>
        <w:rPr>
          <w:rFonts w:hint="default" w:ascii="Segoe UI Historic" w:hAnsi="Segoe UI Historic" w:cs="Segoe UI Historic"/>
          <w:b/>
          <w:bCs/>
          <w:i/>
          <w:iCs/>
          <w:sz w:val="24"/>
          <w:szCs w:val="24"/>
        </w:rPr>
        <w:t>Frequency of prescribed antihypertensive and concurrent cardiovascular medicines (n = 50).</w:t>
      </w: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 w:type="dxa"/>
          <w:bottom w:w="0" w:type="dxa"/>
          <w:right w:w="10" w:type="dxa"/>
        </w:tblCellMar>
      </w:tblPr>
      <w:tblGrid>
        <w:gridCol w:w="3887"/>
        <w:gridCol w:w="1791"/>
        <w:gridCol w:w="813"/>
        <w:gridCol w:w="1986"/>
        <w:gridCol w:w="1057"/>
      </w:tblGrid>
      <w:tr w14:paraId="47F6B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Header/>
        </w:trPr>
        <w:tc>
          <w:tcPr>
            <w:tcW w:w="2038"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5D3F8221">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Medicine (class)</w:t>
            </w:r>
          </w:p>
        </w:tc>
        <w:tc>
          <w:tcPr>
            <w:tcW w:w="939"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1F81DC2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Patients (n)</w:t>
            </w:r>
          </w:p>
        </w:tc>
        <w:tc>
          <w:tcPr>
            <w:tcW w:w="426"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2C12B2D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w:t>
            </w:r>
          </w:p>
        </w:tc>
        <w:tc>
          <w:tcPr>
            <w:tcW w:w="1041"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0BE33C58">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Usual dose</w:t>
            </w:r>
          </w:p>
        </w:tc>
        <w:tc>
          <w:tcPr>
            <w:tcW w:w="55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21627EE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Route</w:t>
            </w:r>
          </w:p>
        </w:tc>
      </w:tr>
      <w:tr w14:paraId="0346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tcBorders>
              <w:top w:val="single" w:color="auto" w:sz="4" w:space="0"/>
            </w:tcBorders>
            <w:shd w:val="clear" w:color="auto" w:fill="auto"/>
            <w:tcMar>
              <w:top w:w="40" w:type="dxa"/>
              <w:left w:w="90" w:type="dxa"/>
              <w:bottom w:w="40" w:type="dxa"/>
              <w:right w:w="90" w:type="dxa"/>
            </w:tcMar>
            <w:vAlign w:val="center"/>
          </w:tcPr>
          <w:p w14:paraId="4A2DCC0F">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Furosemide (loop diuretic)</w:t>
            </w:r>
          </w:p>
        </w:tc>
        <w:tc>
          <w:tcPr>
            <w:tcW w:w="939" w:type="pct"/>
            <w:tcBorders>
              <w:top w:val="single" w:color="auto" w:sz="4" w:space="0"/>
            </w:tcBorders>
            <w:shd w:val="clear" w:color="auto" w:fill="auto"/>
            <w:tcMar>
              <w:top w:w="40" w:type="dxa"/>
              <w:left w:w="90" w:type="dxa"/>
              <w:bottom w:w="40" w:type="dxa"/>
              <w:right w:w="90" w:type="dxa"/>
            </w:tcMar>
            <w:vAlign w:val="center"/>
          </w:tcPr>
          <w:p w14:paraId="56C9A89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37</w:t>
            </w:r>
          </w:p>
        </w:tc>
        <w:tc>
          <w:tcPr>
            <w:tcW w:w="426" w:type="pct"/>
            <w:tcBorders>
              <w:top w:val="single" w:color="auto" w:sz="4" w:space="0"/>
            </w:tcBorders>
            <w:shd w:val="clear" w:color="auto" w:fill="auto"/>
            <w:tcMar>
              <w:top w:w="40" w:type="dxa"/>
              <w:left w:w="90" w:type="dxa"/>
              <w:bottom w:w="40" w:type="dxa"/>
              <w:right w:w="90" w:type="dxa"/>
            </w:tcMar>
            <w:vAlign w:val="center"/>
          </w:tcPr>
          <w:p w14:paraId="376204D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74.0</w:t>
            </w:r>
          </w:p>
        </w:tc>
        <w:tc>
          <w:tcPr>
            <w:tcW w:w="1041" w:type="pct"/>
            <w:tcBorders>
              <w:top w:val="single" w:color="auto" w:sz="4" w:space="0"/>
            </w:tcBorders>
            <w:shd w:val="clear" w:color="auto" w:fill="auto"/>
            <w:tcMar>
              <w:top w:w="40" w:type="dxa"/>
              <w:left w:w="90" w:type="dxa"/>
              <w:bottom w:w="40" w:type="dxa"/>
              <w:right w:w="90" w:type="dxa"/>
            </w:tcMar>
            <w:vAlign w:val="center"/>
          </w:tcPr>
          <w:p w14:paraId="2593960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40 mg OD</w:t>
            </w:r>
          </w:p>
        </w:tc>
        <w:tc>
          <w:tcPr>
            <w:tcW w:w="554" w:type="pct"/>
            <w:tcBorders>
              <w:top w:val="single" w:color="auto" w:sz="4" w:space="0"/>
            </w:tcBorders>
            <w:shd w:val="clear" w:color="auto" w:fill="auto"/>
            <w:tcMar>
              <w:top w:w="40" w:type="dxa"/>
              <w:left w:w="90" w:type="dxa"/>
              <w:bottom w:w="40" w:type="dxa"/>
              <w:right w:w="90" w:type="dxa"/>
            </w:tcMar>
            <w:vAlign w:val="center"/>
          </w:tcPr>
          <w:p w14:paraId="4AF15C2C">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IV</w:t>
            </w:r>
          </w:p>
        </w:tc>
      </w:tr>
      <w:tr w14:paraId="504D1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0703AFDC">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Aspirin (antiplatelet)</w:t>
            </w:r>
          </w:p>
        </w:tc>
        <w:tc>
          <w:tcPr>
            <w:tcW w:w="939" w:type="pct"/>
            <w:shd w:val="clear" w:color="auto" w:fill="auto"/>
            <w:tcMar>
              <w:top w:w="40" w:type="dxa"/>
              <w:left w:w="90" w:type="dxa"/>
              <w:bottom w:w="40" w:type="dxa"/>
              <w:right w:w="90" w:type="dxa"/>
            </w:tcMar>
            <w:vAlign w:val="center"/>
          </w:tcPr>
          <w:p w14:paraId="376BD35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30</w:t>
            </w:r>
          </w:p>
        </w:tc>
        <w:tc>
          <w:tcPr>
            <w:tcW w:w="426" w:type="pct"/>
            <w:shd w:val="clear" w:color="auto" w:fill="auto"/>
            <w:tcMar>
              <w:top w:w="40" w:type="dxa"/>
              <w:left w:w="90" w:type="dxa"/>
              <w:bottom w:w="40" w:type="dxa"/>
              <w:right w:w="90" w:type="dxa"/>
            </w:tcMar>
            <w:vAlign w:val="center"/>
          </w:tcPr>
          <w:p w14:paraId="74D073B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60.0</w:t>
            </w:r>
          </w:p>
        </w:tc>
        <w:tc>
          <w:tcPr>
            <w:tcW w:w="1041" w:type="pct"/>
            <w:shd w:val="clear" w:color="auto" w:fill="auto"/>
            <w:tcMar>
              <w:top w:w="40" w:type="dxa"/>
              <w:left w:w="90" w:type="dxa"/>
              <w:bottom w:w="40" w:type="dxa"/>
              <w:right w:w="90" w:type="dxa"/>
            </w:tcMar>
            <w:vAlign w:val="center"/>
          </w:tcPr>
          <w:p w14:paraId="76A646D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75 mg</w:t>
            </w:r>
          </w:p>
        </w:tc>
        <w:tc>
          <w:tcPr>
            <w:tcW w:w="554" w:type="pct"/>
            <w:shd w:val="clear" w:color="auto" w:fill="auto"/>
            <w:tcMar>
              <w:top w:w="40" w:type="dxa"/>
              <w:left w:w="90" w:type="dxa"/>
              <w:bottom w:w="40" w:type="dxa"/>
              <w:right w:w="90" w:type="dxa"/>
            </w:tcMar>
            <w:vAlign w:val="center"/>
          </w:tcPr>
          <w:p w14:paraId="0C4350C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4F66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4E83F6E3">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Clopidogrel (antiplatelet)</w:t>
            </w:r>
          </w:p>
        </w:tc>
        <w:tc>
          <w:tcPr>
            <w:tcW w:w="939" w:type="pct"/>
            <w:shd w:val="clear" w:color="auto" w:fill="auto"/>
            <w:tcMar>
              <w:top w:w="40" w:type="dxa"/>
              <w:left w:w="90" w:type="dxa"/>
              <w:bottom w:w="40" w:type="dxa"/>
              <w:right w:w="90" w:type="dxa"/>
            </w:tcMar>
            <w:vAlign w:val="center"/>
          </w:tcPr>
          <w:p w14:paraId="4D2EF34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30</w:t>
            </w:r>
          </w:p>
        </w:tc>
        <w:tc>
          <w:tcPr>
            <w:tcW w:w="426" w:type="pct"/>
            <w:shd w:val="clear" w:color="auto" w:fill="auto"/>
            <w:tcMar>
              <w:top w:w="40" w:type="dxa"/>
              <w:left w:w="90" w:type="dxa"/>
              <w:bottom w:w="40" w:type="dxa"/>
              <w:right w:w="90" w:type="dxa"/>
            </w:tcMar>
            <w:vAlign w:val="center"/>
          </w:tcPr>
          <w:p w14:paraId="37D37E1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60.0</w:t>
            </w:r>
          </w:p>
        </w:tc>
        <w:tc>
          <w:tcPr>
            <w:tcW w:w="1041" w:type="pct"/>
            <w:shd w:val="clear" w:color="auto" w:fill="auto"/>
            <w:tcMar>
              <w:top w:w="40" w:type="dxa"/>
              <w:left w:w="90" w:type="dxa"/>
              <w:bottom w:w="40" w:type="dxa"/>
              <w:right w:w="90" w:type="dxa"/>
            </w:tcMar>
            <w:vAlign w:val="center"/>
          </w:tcPr>
          <w:p w14:paraId="4555271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75 mg</w:t>
            </w:r>
          </w:p>
        </w:tc>
        <w:tc>
          <w:tcPr>
            <w:tcW w:w="554" w:type="pct"/>
            <w:shd w:val="clear" w:color="auto" w:fill="auto"/>
            <w:tcMar>
              <w:top w:w="40" w:type="dxa"/>
              <w:left w:w="90" w:type="dxa"/>
              <w:bottom w:w="40" w:type="dxa"/>
              <w:right w:w="90" w:type="dxa"/>
            </w:tcMar>
            <w:vAlign w:val="center"/>
          </w:tcPr>
          <w:p w14:paraId="1E40510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3EB3F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7E541A45">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Ramipril (ACE inhibitor)</w:t>
            </w:r>
          </w:p>
        </w:tc>
        <w:tc>
          <w:tcPr>
            <w:tcW w:w="939" w:type="pct"/>
            <w:shd w:val="clear" w:color="auto" w:fill="auto"/>
            <w:tcMar>
              <w:top w:w="40" w:type="dxa"/>
              <w:left w:w="90" w:type="dxa"/>
              <w:bottom w:w="40" w:type="dxa"/>
              <w:right w:w="90" w:type="dxa"/>
            </w:tcMar>
            <w:vAlign w:val="center"/>
          </w:tcPr>
          <w:p w14:paraId="3A43520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24</w:t>
            </w:r>
          </w:p>
        </w:tc>
        <w:tc>
          <w:tcPr>
            <w:tcW w:w="426" w:type="pct"/>
            <w:shd w:val="clear" w:color="auto" w:fill="auto"/>
            <w:tcMar>
              <w:top w:w="40" w:type="dxa"/>
              <w:left w:w="90" w:type="dxa"/>
              <w:bottom w:w="40" w:type="dxa"/>
              <w:right w:w="90" w:type="dxa"/>
            </w:tcMar>
            <w:vAlign w:val="center"/>
          </w:tcPr>
          <w:p w14:paraId="353EF3D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48.0</w:t>
            </w:r>
          </w:p>
        </w:tc>
        <w:tc>
          <w:tcPr>
            <w:tcW w:w="1041" w:type="pct"/>
            <w:shd w:val="clear" w:color="auto" w:fill="auto"/>
            <w:tcMar>
              <w:top w:w="40" w:type="dxa"/>
              <w:left w:w="90" w:type="dxa"/>
              <w:bottom w:w="40" w:type="dxa"/>
              <w:right w:w="90" w:type="dxa"/>
            </w:tcMar>
            <w:vAlign w:val="center"/>
          </w:tcPr>
          <w:p w14:paraId="228EF11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 mg</w:t>
            </w:r>
          </w:p>
        </w:tc>
        <w:tc>
          <w:tcPr>
            <w:tcW w:w="554" w:type="pct"/>
            <w:shd w:val="clear" w:color="auto" w:fill="auto"/>
            <w:tcMar>
              <w:top w:w="40" w:type="dxa"/>
              <w:left w:w="90" w:type="dxa"/>
              <w:bottom w:w="40" w:type="dxa"/>
              <w:right w:w="90" w:type="dxa"/>
            </w:tcMar>
            <w:vAlign w:val="center"/>
          </w:tcPr>
          <w:p w14:paraId="5B92173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5FB3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6C131D2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Amlodipine (CCB)</w:t>
            </w:r>
          </w:p>
        </w:tc>
        <w:tc>
          <w:tcPr>
            <w:tcW w:w="939" w:type="pct"/>
            <w:shd w:val="clear" w:color="auto" w:fill="auto"/>
            <w:tcMar>
              <w:top w:w="40" w:type="dxa"/>
              <w:left w:w="90" w:type="dxa"/>
              <w:bottom w:w="40" w:type="dxa"/>
              <w:right w:w="90" w:type="dxa"/>
            </w:tcMar>
            <w:vAlign w:val="center"/>
          </w:tcPr>
          <w:p w14:paraId="41E2CEB3">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21</w:t>
            </w:r>
          </w:p>
        </w:tc>
        <w:tc>
          <w:tcPr>
            <w:tcW w:w="426" w:type="pct"/>
            <w:shd w:val="clear" w:color="auto" w:fill="auto"/>
            <w:tcMar>
              <w:top w:w="40" w:type="dxa"/>
              <w:left w:w="90" w:type="dxa"/>
              <w:bottom w:w="40" w:type="dxa"/>
              <w:right w:w="90" w:type="dxa"/>
            </w:tcMar>
            <w:vAlign w:val="center"/>
          </w:tcPr>
          <w:p w14:paraId="7D340A6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42.0</w:t>
            </w:r>
          </w:p>
        </w:tc>
        <w:tc>
          <w:tcPr>
            <w:tcW w:w="1041" w:type="pct"/>
            <w:shd w:val="clear" w:color="auto" w:fill="auto"/>
            <w:tcMar>
              <w:top w:w="40" w:type="dxa"/>
              <w:left w:w="90" w:type="dxa"/>
              <w:bottom w:w="40" w:type="dxa"/>
              <w:right w:w="90" w:type="dxa"/>
            </w:tcMar>
            <w:vAlign w:val="center"/>
          </w:tcPr>
          <w:p w14:paraId="6C46D68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5–10 mg OD</w:t>
            </w:r>
          </w:p>
        </w:tc>
        <w:tc>
          <w:tcPr>
            <w:tcW w:w="554" w:type="pct"/>
            <w:shd w:val="clear" w:color="auto" w:fill="auto"/>
            <w:tcMar>
              <w:top w:w="40" w:type="dxa"/>
              <w:left w:w="90" w:type="dxa"/>
              <w:bottom w:w="40" w:type="dxa"/>
              <w:right w:w="90" w:type="dxa"/>
            </w:tcMar>
            <w:vAlign w:val="center"/>
          </w:tcPr>
          <w:p w14:paraId="07C506A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3622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471F4AFA">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Enoxaparin (LMWH)</w:t>
            </w:r>
          </w:p>
        </w:tc>
        <w:tc>
          <w:tcPr>
            <w:tcW w:w="939" w:type="pct"/>
            <w:shd w:val="clear" w:color="auto" w:fill="auto"/>
            <w:tcMar>
              <w:top w:w="40" w:type="dxa"/>
              <w:left w:w="90" w:type="dxa"/>
              <w:bottom w:w="40" w:type="dxa"/>
              <w:right w:w="90" w:type="dxa"/>
            </w:tcMar>
            <w:vAlign w:val="center"/>
          </w:tcPr>
          <w:p w14:paraId="7535D53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21</w:t>
            </w:r>
          </w:p>
        </w:tc>
        <w:tc>
          <w:tcPr>
            <w:tcW w:w="426" w:type="pct"/>
            <w:shd w:val="clear" w:color="auto" w:fill="auto"/>
            <w:tcMar>
              <w:top w:w="40" w:type="dxa"/>
              <w:left w:w="90" w:type="dxa"/>
              <w:bottom w:w="40" w:type="dxa"/>
              <w:right w:w="90" w:type="dxa"/>
            </w:tcMar>
            <w:vAlign w:val="center"/>
          </w:tcPr>
          <w:p w14:paraId="653D6AA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42.0</w:t>
            </w:r>
          </w:p>
        </w:tc>
        <w:tc>
          <w:tcPr>
            <w:tcW w:w="1041" w:type="pct"/>
            <w:shd w:val="clear" w:color="auto" w:fill="auto"/>
            <w:tcMar>
              <w:top w:w="40" w:type="dxa"/>
              <w:left w:w="90" w:type="dxa"/>
              <w:bottom w:w="40" w:type="dxa"/>
              <w:right w:w="90" w:type="dxa"/>
            </w:tcMar>
            <w:vAlign w:val="center"/>
          </w:tcPr>
          <w:p w14:paraId="598D661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60 mg OD</w:t>
            </w:r>
          </w:p>
        </w:tc>
        <w:tc>
          <w:tcPr>
            <w:tcW w:w="554" w:type="pct"/>
            <w:shd w:val="clear" w:color="auto" w:fill="auto"/>
            <w:tcMar>
              <w:top w:w="40" w:type="dxa"/>
              <w:left w:w="90" w:type="dxa"/>
              <w:bottom w:w="40" w:type="dxa"/>
              <w:right w:w="90" w:type="dxa"/>
            </w:tcMar>
            <w:vAlign w:val="center"/>
          </w:tcPr>
          <w:p w14:paraId="0AEE2172">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SC</w:t>
            </w:r>
          </w:p>
        </w:tc>
      </w:tr>
      <w:tr w14:paraId="524F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1B46AB8B">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Nifedipine (CCB)</w:t>
            </w:r>
          </w:p>
        </w:tc>
        <w:tc>
          <w:tcPr>
            <w:tcW w:w="939" w:type="pct"/>
            <w:shd w:val="clear" w:color="auto" w:fill="auto"/>
            <w:tcMar>
              <w:top w:w="40" w:type="dxa"/>
              <w:left w:w="90" w:type="dxa"/>
              <w:bottom w:w="40" w:type="dxa"/>
              <w:right w:w="90" w:type="dxa"/>
            </w:tcMar>
            <w:vAlign w:val="center"/>
          </w:tcPr>
          <w:p w14:paraId="38282C43">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18</w:t>
            </w:r>
          </w:p>
        </w:tc>
        <w:tc>
          <w:tcPr>
            <w:tcW w:w="426" w:type="pct"/>
            <w:shd w:val="clear" w:color="auto" w:fill="auto"/>
            <w:tcMar>
              <w:top w:w="40" w:type="dxa"/>
              <w:left w:w="90" w:type="dxa"/>
              <w:bottom w:w="40" w:type="dxa"/>
              <w:right w:w="90" w:type="dxa"/>
            </w:tcMar>
            <w:vAlign w:val="center"/>
          </w:tcPr>
          <w:p w14:paraId="5BF23A6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36.0</w:t>
            </w:r>
          </w:p>
        </w:tc>
        <w:tc>
          <w:tcPr>
            <w:tcW w:w="1041" w:type="pct"/>
            <w:shd w:val="clear" w:color="auto" w:fill="auto"/>
            <w:tcMar>
              <w:top w:w="40" w:type="dxa"/>
              <w:left w:w="90" w:type="dxa"/>
              <w:bottom w:w="40" w:type="dxa"/>
              <w:right w:w="90" w:type="dxa"/>
            </w:tcMar>
            <w:vAlign w:val="center"/>
          </w:tcPr>
          <w:p w14:paraId="7B08A9F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 mg BD</w:t>
            </w:r>
          </w:p>
        </w:tc>
        <w:tc>
          <w:tcPr>
            <w:tcW w:w="554" w:type="pct"/>
            <w:shd w:val="clear" w:color="auto" w:fill="auto"/>
            <w:tcMar>
              <w:top w:w="40" w:type="dxa"/>
              <w:left w:w="90" w:type="dxa"/>
              <w:bottom w:w="40" w:type="dxa"/>
              <w:right w:w="90" w:type="dxa"/>
            </w:tcMar>
            <w:vAlign w:val="center"/>
          </w:tcPr>
          <w:p w14:paraId="77108FA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3B25A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0308B510">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Spironolactone (MRA)</w:t>
            </w:r>
          </w:p>
        </w:tc>
        <w:tc>
          <w:tcPr>
            <w:tcW w:w="939" w:type="pct"/>
            <w:shd w:val="clear" w:color="auto" w:fill="auto"/>
            <w:tcMar>
              <w:top w:w="40" w:type="dxa"/>
              <w:left w:w="90" w:type="dxa"/>
              <w:bottom w:w="40" w:type="dxa"/>
              <w:right w:w="90" w:type="dxa"/>
            </w:tcMar>
            <w:vAlign w:val="center"/>
          </w:tcPr>
          <w:p w14:paraId="72B5268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12</w:t>
            </w:r>
          </w:p>
        </w:tc>
        <w:tc>
          <w:tcPr>
            <w:tcW w:w="426" w:type="pct"/>
            <w:shd w:val="clear" w:color="auto" w:fill="auto"/>
            <w:tcMar>
              <w:top w:w="40" w:type="dxa"/>
              <w:left w:w="90" w:type="dxa"/>
              <w:bottom w:w="40" w:type="dxa"/>
              <w:right w:w="90" w:type="dxa"/>
            </w:tcMar>
            <w:vAlign w:val="center"/>
          </w:tcPr>
          <w:p w14:paraId="1EED20D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24.0</w:t>
            </w:r>
          </w:p>
        </w:tc>
        <w:tc>
          <w:tcPr>
            <w:tcW w:w="1041" w:type="pct"/>
            <w:shd w:val="clear" w:color="auto" w:fill="auto"/>
            <w:tcMar>
              <w:top w:w="40" w:type="dxa"/>
              <w:left w:w="90" w:type="dxa"/>
              <w:bottom w:w="40" w:type="dxa"/>
              <w:right w:w="90" w:type="dxa"/>
            </w:tcMar>
            <w:vAlign w:val="center"/>
          </w:tcPr>
          <w:p w14:paraId="135DF4A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100 mg OD</w:t>
            </w:r>
          </w:p>
        </w:tc>
        <w:tc>
          <w:tcPr>
            <w:tcW w:w="554" w:type="pct"/>
            <w:shd w:val="clear" w:color="auto" w:fill="auto"/>
            <w:tcMar>
              <w:top w:w="40" w:type="dxa"/>
              <w:left w:w="90" w:type="dxa"/>
              <w:bottom w:w="40" w:type="dxa"/>
              <w:right w:w="90" w:type="dxa"/>
            </w:tcMar>
            <w:vAlign w:val="center"/>
          </w:tcPr>
          <w:p w14:paraId="2DD6CD9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78A91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3D32289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Nebivolol (beta-blocker)</w:t>
            </w:r>
          </w:p>
        </w:tc>
        <w:tc>
          <w:tcPr>
            <w:tcW w:w="939" w:type="pct"/>
            <w:shd w:val="clear" w:color="auto" w:fill="auto"/>
            <w:tcMar>
              <w:top w:w="40" w:type="dxa"/>
              <w:left w:w="90" w:type="dxa"/>
              <w:bottom w:w="40" w:type="dxa"/>
              <w:right w:w="90" w:type="dxa"/>
            </w:tcMar>
            <w:vAlign w:val="center"/>
          </w:tcPr>
          <w:p w14:paraId="288DA4C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12</w:t>
            </w:r>
          </w:p>
        </w:tc>
        <w:tc>
          <w:tcPr>
            <w:tcW w:w="426" w:type="pct"/>
            <w:shd w:val="clear" w:color="auto" w:fill="auto"/>
            <w:tcMar>
              <w:top w:w="40" w:type="dxa"/>
              <w:left w:w="90" w:type="dxa"/>
              <w:bottom w:w="40" w:type="dxa"/>
              <w:right w:w="90" w:type="dxa"/>
            </w:tcMar>
            <w:vAlign w:val="center"/>
          </w:tcPr>
          <w:p w14:paraId="62DF767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24.0</w:t>
            </w:r>
          </w:p>
        </w:tc>
        <w:tc>
          <w:tcPr>
            <w:tcW w:w="1041" w:type="pct"/>
            <w:shd w:val="clear" w:color="auto" w:fill="auto"/>
            <w:tcMar>
              <w:top w:w="40" w:type="dxa"/>
              <w:left w:w="90" w:type="dxa"/>
              <w:bottom w:w="40" w:type="dxa"/>
              <w:right w:w="90" w:type="dxa"/>
            </w:tcMar>
            <w:vAlign w:val="center"/>
          </w:tcPr>
          <w:p w14:paraId="679A609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2.5 mg OD</w:t>
            </w:r>
          </w:p>
        </w:tc>
        <w:tc>
          <w:tcPr>
            <w:tcW w:w="554" w:type="pct"/>
            <w:shd w:val="clear" w:color="auto" w:fill="auto"/>
            <w:tcMar>
              <w:top w:w="40" w:type="dxa"/>
              <w:left w:w="90" w:type="dxa"/>
              <w:bottom w:w="40" w:type="dxa"/>
              <w:right w:w="90" w:type="dxa"/>
            </w:tcMar>
            <w:vAlign w:val="center"/>
          </w:tcPr>
          <w:p w14:paraId="53F91E4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249B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126621DD">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Valsartan (ARB)</w:t>
            </w:r>
          </w:p>
        </w:tc>
        <w:tc>
          <w:tcPr>
            <w:tcW w:w="939" w:type="pct"/>
            <w:shd w:val="clear" w:color="auto" w:fill="auto"/>
            <w:tcMar>
              <w:top w:w="40" w:type="dxa"/>
              <w:left w:w="90" w:type="dxa"/>
              <w:bottom w:w="40" w:type="dxa"/>
              <w:right w:w="90" w:type="dxa"/>
            </w:tcMar>
            <w:vAlign w:val="center"/>
          </w:tcPr>
          <w:p w14:paraId="04AEB18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11</w:t>
            </w:r>
          </w:p>
        </w:tc>
        <w:tc>
          <w:tcPr>
            <w:tcW w:w="426" w:type="pct"/>
            <w:shd w:val="clear" w:color="auto" w:fill="auto"/>
            <w:tcMar>
              <w:top w:w="40" w:type="dxa"/>
              <w:left w:w="90" w:type="dxa"/>
              <w:bottom w:w="40" w:type="dxa"/>
              <w:right w:w="90" w:type="dxa"/>
            </w:tcMar>
            <w:vAlign w:val="center"/>
          </w:tcPr>
          <w:p w14:paraId="6129538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22.0</w:t>
            </w:r>
          </w:p>
        </w:tc>
        <w:tc>
          <w:tcPr>
            <w:tcW w:w="1041" w:type="pct"/>
            <w:shd w:val="clear" w:color="auto" w:fill="auto"/>
            <w:tcMar>
              <w:top w:w="40" w:type="dxa"/>
              <w:left w:w="90" w:type="dxa"/>
              <w:bottom w:w="40" w:type="dxa"/>
              <w:right w:w="90" w:type="dxa"/>
            </w:tcMar>
            <w:vAlign w:val="center"/>
          </w:tcPr>
          <w:p w14:paraId="696835E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160 mg OD</w:t>
            </w:r>
          </w:p>
        </w:tc>
        <w:tc>
          <w:tcPr>
            <w:tcW w:w="554" w:type="pct"/>
            <w:shd w:val="clear" w:color="auto" w:fill="auto"/>
            <w:tcMar>
              <w:top w:w="40" w:type="dxa"/>
              <w:left w:w="90" w:type="dxa"/>
              <w:bottom w:w="40" w:type="dxa"/>
              <w:right w:w="90" w:type="dxa"/>
            </w:tcMar>
            <w:vAlign w:val="center"/>
          </w:tcPr>
          <w:p w14:paraId="10B103E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792A9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3BA91ED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Glyceryl trinitrate (nitrate)</w:t>
            </w:r>
          </w:p>
        </w:tc>
        <w:tc>
          <w:tcPr>
            <w:tcW w:w="939" w:type="pct"/>
            <w:shd w:val="clear" w:color="auto" w:fill="auto"/>
            <w:tcMar>
              <w:top w:w="40" w:type="dxa"/>
              <w:left w:w="90" w:type="dxa"/>
              <w:bottom w:w="40" w:type="dxa"/>
              <w:right w:w="90" w:type="dxa"/>
            </w:tcMar>
            <w:vAlign w:val="center"/>
          </w:tcPr>
          <w:p w14:paraId="765B335D">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w:t>
            </w:r>
          </w:p>
        </w:tc>
        <w:tc>
          <w:tcPr>
            <w:tcW w:w="426" w:type="pct"/>
            <w:shd w:val="clear" w:color="auto" w:fill="auto"/>
            <w:tcMar>
              <w:top w:w="40" w:type="dxa"/>
              <w:left w:w="90" w:type="dxa"/>
              <w:bottom w:w="40" w:type="dxa"/>
              <w:right w:w="90" w:type="dxa"/>
            </w:tcMar>
            <w:vAlign w:val="center"/>
          </w:tcPr>
          <w:p w14:paraId="09C8E918">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20.0</w:t>
            </w:r>
          </w:p>
        </w:tc>
        <w:tc>
          <w:tcPr>
            <w:tcW w:w="1041" w:type="pct"/>
            <w:shd w:val="clear" w:color="auto" w:fill="auto"/>
            <w:tcMar>
              <w:top w:w="40" w:type="dxa"/>
              <w:left w:w="90" w:type="dxa"/>
              <w:bottom w:w="40" w:type="dxa"/>
              <w:right w:w="90" w:type="dxa"/>
            </w:tcMar>
            <w:vAlign w:val="center"/>
          </w:tcPr>
          <w:p w14:paraId="1D6E5D0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2.6 mg BD</w:t>
            </w:r>
          </w:p>
        </w:tc>
        <w:tc>
          <w:tcPr>
            <w:tcW w:w="554" w:type="pct"/>
            <w:shd w:val="clear" w:color="auto" w:fill="auto"/>
            <w:tcMar>
              <w:top w:w="40" w:type="dxa"/>
              <w:left w:w="90" w:type="dxa"/>
              <w:bottom w:w="40" w:type="dxa"/>
              <w:right w:w="90" w:type="dxa"/>
            </w:tcMar>
            <w:vAlign w:val="center"/>
          </w:tcPr>
          <w:p w14:paraId="2B7BA148">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11035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shd w:val="clear" w:color="auto" w:fill="auto"/>
            <w:tcMar>
              <w:top w:w="40" w:type="dxa"/>
              <w:left w:w="90" w:type="dxa"/>
              <w:bottom w:w="40" w:type="dxa"/>
              <w:right w:w="90" w:type="dxa"/>
            </w:tcMar>
            <w:vAlign w:val="center"/>
          </w:tcPr>
          <w:p w14:paraId="72895422">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Losartan (ARB)</w:t>
            </w:r>
          </w:p>
        </w:tc>
        <w:tc>
          <w:tcPr>
            <w:tcW w:w="939" w:type="pct"/>
            <w:shd w:val="clear" w:color="auto" w:fill="auto"/>
            <w:tcMar>
              <w:top w:w="40" w:type="dxa"/>
              <w:left w:w="90" w:type="dxa"/>
              <w:bottom w:w="40" w:type="dxa"/>
              <w:right w:w="90" w:type="dxa"/>
            </w:tcMar>
            <w:vAlign w:val="center"/>
          </w:tcPr>
          <w:p w14:paraId="65C401C8">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c>
          <w:tcPr>
            <w:tcW w:w="426" w:type="pct"/>
            <w:shd w:val="clear" w:color="auto" w:fill="auto"/>
            <w:tcMar>
              <w:top w:w="40" w:type="dxa"/>
              <w:left w:w="90" w:type="dxa"/>
              <w:bottom w:w="40" w:type="dxa"/>
              <w:right w:w="90" w:type="dxa"/>
            </w:tcMar>
            <w:vAlign w:val="center"/>
          </w:tcPr>
          <w:p w14:paraId="7DE179E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10.0</w:t>
            </w:r>
          </w:p>
        </w:tc>
        <w:tc>
          <w:tcPr>
            <w:tcW w:w="1041" w:type="pct"/>
            <w:shd w:val="clear" w:color="auto" w:fill="auto"/>
            <w:tcMar>
              <w:top w:w="40" w:type="dxa"/>
              <w:left w:w="90" w:type="dxa"/>
              <w:bottom w:w="40" w:type="dxa"/>
              <w:right w:w="90" w:type="dxa"/>
            </w:tcMar>
            <w:vAlign w:val="center"/>
          </w:tcPr>
          <w:p w14:paraId="66184B2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50 mg OD</w:t>
            </w:r>
          </w:p>
        </w:tc>
        <w:tc>
          <w:tcPr>
            <w:tcW w:w="554" w:type="pct"/>
            <w:shd w:val="clear" w:color="auto" w:fill="auto"/>
            <w:tcMar>
              <w:top w:w="40" w:type="dxa"/>
              <w:left w:w="90" w:type="dxa"/>
              <w:bottom w:w="40" w:type="dxa"/>
              <w:right w:w="90" w:type="dxa"/>
            </w:tcMar>
            <w:vAlign w:val="center"/>
          </w:tcPr>
          <w:p w14:paraId="016F517C">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r w14:paraId="67165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038" w:type="pct"/>
            <w:tcBorders>
              <w:bottom w:val="single" w:color="auto" w:sz="4" w:space="0"/>
            </w:tcBorders>
            <w:shd w:val="clear" w:color="auto" w:fill="auto"/>
            <w:tcMar>
              <w:top w:w="40" w:type="dxa"/>
              <w:left w:w="90" w:type="dxa"/>
              <w:bottom w:w="40" w:type="dxa"/>
              <w:right w:w="90" w:type="dxa"/>
            </w:tcMar>
            <w:vAlign w:val="center"/>
          </w:tcPr>
          <w:p w14:paraId="6078C07D">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Diltiazem (CCB)</w:t>
            </w:r>
          </w:p>
        </w:tc>
        <w:tc>
          <w:tcPr>
            <w:tcW w:w="939" w:type="pct"/>
            <w:tcBorders>
              <w:bottom w:val="single" w:color="auto" w:sz="4" w:space="0"/>
            </w:tcBorders>
            <w:shd w:val="clear" w:color="auto" w:fill="auto"/>
            <w:tcMar>
              <w:top w:w="40" w:type="dxa"/>
              <w:left w:w="90" w:type="dxa"/>
              <w:bottom w:w="40" w:type="dxa"/>
              <w:right w:w="90" w:type="dxa"/>
            </w:tcMar>
            <w:vAlign w:val="center"/>
          </w:tcPr>
          <w:p w14:paraId="0C9377F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w:t>
            </w:r>
          </w:p>
        </w:tc>
        <w:tc>
          <w:tcPr>
            <w:tcW w:w="426" w:type="pct"/>
            <w:tcBorders>
              <w:bottom w:val="single" w:color="auto" w:sz="4" w:space="0"/>
            </w:tcBorders>
            <w:shd w:val="clear" w:color="auto" w:fill="auto"/>
            <w:tcMar>
              <w:top w:w="40" w:type="dxa"/>
              <w:left w:w="90" w:type="dxa"/>
              <w:bottom w:w="40" w:type="dxa"/>
              <w:right w:w="90" w:type="dxa"/>
            </w:tcMar>
            <w:vAlign w:val="center"/>
          </w:tcPr>
          <w:p w14:paraId="013CE95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4.0</w:t>
            </w:r>
          </w:p>
        </w:tc>
        <w:tc>
          <w:tcPr>
            <w:tcW w:w="1041" w:type="pct"/>
            <w:tcBorders>
              <w:bottom w:val="single" w:color="auto" w:sz="4" w:space="0"/>
            </w:tcBorders>
            <w:shd w:val="clear" w:color="auto" w:fill="auto"/>
            <w:tcMar>
              <w:top w:w="40" w:type="dxa"/>
              <w:left w:w="90" w:type="dxa"/>
              <w:bottom w:w="40" w:type="dxa"/>
              <w:right w:w="90" w:type="dxa"/>
            </w:tcMar>
            <w:vAlign w:val="center"/>
          </w:tcPr>
          <w:p w14:paraId="530793D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60 mg BD</w:t>
            </w:r>
          </w:p>
        </w:tc>
        <w:tc>
          <w:tcPr>
            <w:tcW w:w="554" w:type="pct"/>
            <w:tcBorders>
              <w:bottom w:val="single" w:color="auto" w:sz="4" w:space="0"/>
            </w:tcBorders>
            <w:shd w:val="clear" w:color="auto" w:fill="auto"/>
            <w:tcMar>
              <w:top w:w="40" w:type="dxa"/>
              <w:left w:w="90" w:type="dxa"/>
              <w:bottom w:w="40" w:type="dxa"/>
              <w:right w:w="90" w:type="dxa"/>
            </w:tcMar>
            <w:vAlign w:val="center"/>
          </w:tcPr>
          <w:p w14:paraId="7843F32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w:t>
            </w:r>
          </w:p>
        </w:tc>
      </w:tr>
    </w:tbl>
    <w:p w14:paraId="5244976F">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i/>
          <w:iCs/>
          <w:sz w:val="24"/>
          <w:szCs w:val="24"/>
        </w:rPr>
        <w:t>ACE, angiotensin-converting enzyme; ARB, angiotensin-receptor blocker; CCB, calcium-channel blocker; LMWH, low-molecular-weight heparin; MRA, mineralocorticoid-receptor antagonist; OD, once daily; BD, twice daily; PO, oral; IV, intravenous; SC, subcutaneous. Patients typically received more than one agent, so percentages sum to more than 100%.</w:t>
      </w:r>
    </w:p>
    <w:p w14:paraId="4883BC0C">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comorbidity profile is shown in Table 3. Diabetes mellitus was the most common coexisting condition (20%), followed by heart failure, chronic kidney disease and a heterogeneous “other” category (each 15%), and cerebrovascular accident (10%). Cholelithiasis, Parkinson’s disease, hypokalaemia, chronic obstructive pulmonary disease and anaemia each affected 5% of patients. This clustering of cardiometabolic and renal comorbidity is clinically important, since it both mandates polypharmacy and constrains safe drug selection.</w:t>
      </w:r>
    </w:p>
    <w:p w14:paraId="59BF0031">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b/>
          <w:bCs/>
          <w:i/>
          <w:iCs/>
          <w:sz w:val="24"/>
          <w:szCs w:val="24"/>
        </w:rPr>
      </w:pPr>
      <w:r>
        <w:rPr>
          <w:rFonts w:hint="default" w:ascii="Segoe UI Historic" w:hAnsi="Segoe UI Historic" w:cs="Segoe UI Historic"/>
          <w:b/>
          <w:bCs/>
          <w:i w:val="0"/>
          <w:iCs w:val="0"/>
          <w:sz w:val="24"/>
          <w:szCs w:val="24"/>
        </w:rPr>
        <w:t>Table 3.</w:t>
      </w:r>
      <w:r>
        <w:rPr>
          <w:rFonts w:hint="default" w:ascii="Segoe UI Historic" w:hAnsi="Segoe UI Historic" w:cs="Segoe UI Historic"/>
          <w:b/>
          <w:bCs/>
          <w:i w:val="0"/>
          <w:iCs w:val="0"/>
          <w:sz w:val="24"/>
          <w:szCs w:val="24"/>
          <w:lang w:val="en-US"/>
        </w:rPr>
        <w:tab/>
      </w:r>
      <w:r>
        <w:rPr>
          <w:rFonts w:hint="default" w:ascii="Segoe UI Historic" w:hAnsi="Segoe UI Historic" w:cs="Segoe UI Historic"/>
          <w:b/>
          <w:bCs/>
          <w:i/>
          <w:iCs/>
          <w:sz w:val="24"/>
          <w:szCs w:val="24"/>
        </w:rPr>
        <w:t>Comorbidities among patients admitted with hypertension (n = 50).</w:t>
      </w: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 w:type="dxa"/>
          <w:bottom w:w="0" w:type="dxa"/>
          <w:right w:w="10" w:type="dxa"/>
        </w:tblCellMar>
      </w:tblPr>
      <w:tblGrid>
        <w:gridCol w:w="6991"/>
        <w:gridCol w:w="2547"/>
      </w:tblGrid>
      <w:tr w14:paraId="17DFB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blHeader/>
        </w:trPr>
        <w:tc>
          <w:tcPr>
            <w:tcW w:w="366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2EBB368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Comorbidity</w:t>
            </w:r>
          </w:p>
        </w:tc>
        <w:tc>
          <w:tcPr>
            <w:tcW w:w="1335"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2C0FF94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w:t>
            </w:r>
          </w:p>
        </w:tc>
      </w:tr>
      <w:tr w14:paraId="0AE4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tcBorders>
              <w:top w:val="single" w:color="auto" w:sz="4" w:space="0"/>
            </w:tcBorders>
            <w:shd w:val="clear" w:color="auto" w:fill="auto"/>
            <w:tcMar>
              <w:top w:w="40" w:type="dxa"/>
              <w:left w:w="90" w:type="dxa"/>
              <w:bottom w:w="40" w:type="dxa"/>
              <w:right w:w="90" w:type="dxa"/>
            </w:tcMar>
            <w:vAlign w:val="center"/>
          </w:tcPr>
          <w:p w14:paraId="0FA94FC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Diabetes mellitus</w:t>
            </w:r>
          </w:p>
        </w:tc>
        <w:tc>
          <w:tcPr>
            <w:tcW w:w="1335" w:type="pct"/>
            <w:tcBorders>
              <w:top w:val="single" w:color="auto" w:sz="4" w:space="0"/>
            </w:tcBorders>
            <w:shd w:val="clear" w:color="auto" w:fill="auto"/>
            <w:tcMar>
              <w:top w:w="40" w:type="dxa"/>
              <w:left w:w="90" w:type="dxa"/>
              <w:bottom w:w="40" w:type="dxa"/>
              <w:right w:w="90" w:type="dxa"/>
            </w:tcMar>
            <w:vAlign w:val="center"/>
          </w:tcPr>
          <w:p w14:paraId="6B3A098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20</w:t>
            </w:r>
          </w:p>
        </w:tc>
      </w:tr>
      <w:tr w14:paraId="53B5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1EB76B73">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Heart failure</w:t>
            </w:r>
          </w:p>
        </w:tc>
        <w:tc>
          <w:tcPr>
            <w:tcW w:w="1335" w:type="pct"/>
            <w:shd w:val="clear" w:color="auto" w:fill="auto"/>
            <w:tcMar>
              <w:top w:w="40" w:type="dxa"/>
              <w:left w:w="90" w:type="dxa"/>
              <w:bottom w:w="40" w:type="dxa"/>
              <w:right w:w="90" w:type="dxa"/>
            </w:tcMar>
            <w:vAlign w:val="center"/>
          </w:tcPr>
          <w:p w14:paraId="590AEFA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15</w:t>
            </w:r>
          </w:p>
        </w:tc>
      </w:tr>
      <w:tr w14:paraId="46260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7F04661E">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Chronic kidney disease</w:t>
            </w:r>
          </w:p>
        </w:tc>
        <w:tc>
          <w:tcPr>
            <w:tcW w:w="1335" w:type="pct"/>
            <w:shd w:val="clear" w:color="auto" w:fill="auto"/>
            <w:tcMar>
              <w:top w:w="40" w:type="dxa"/>
              <w:left w:w="90" w:type="dxa"/>
              <w:bottom w:w="40" w:type="dxa"/>
              <w:right w:w="90" w:type="dxa"/>
            </w:tcMar>
            <w:vAlign w:val="center"/>
          </w:tcPr>
          <w:p w14:paraId="01435EB8">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15</w:t>
            </w:r>
          </w:p>
        </w:tc>
      </w:tr>
      <w:tr w14:paraId="34B2B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31D74B71">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Other</w:t>
            </w:r>
          </w:p>
        </w:tc>
        <w:tc>
          <w:tcPr>
            <w:tcW w:w="1335" w:type="pct"/>
            <w:shd w:val="clear" w:color="auto" w:fill="auto"/>
            <w:tcMar>
              <w:top w:w="40" w:type="dxa"/>
              <w:left w:w="90" w:type="dxa"/>
              <w:bottom w:w="40" w:type="dxa"/>
              <w:right w:w="90" w:type="dxa"/>
            </w:tcMar>
            <w:vAlign w:val="center"/>
          </w:tcPr>
          <w:p w14:paraId="5CBD5E5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15</w:t>
            </w:r>
          </w:p>
        </w:tc>
      </w:tr>
      <w:tr w14:paraId="6059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439CB67C">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Cerebrovascular accident</w:t>
            </w:r>
          </w:p>
        </w:tc>
        <w:tc>
          <w:tcPr>
            <w:tcW w:w="1335" w:type="pct"/>
            <w:shd w:val="clear" w:color="auto" w:fill="auto"/>
            <w:tcMar>
              <w:top w:w="40" w:type="dxa"/>
              <w:left w:w="90" w:type="dxa"/>
              <w:bottom w:w="40" w:type="dxa"/>
              <w:right w:w="90" w:type="dxa"/>
            </w:tcMar>
            <w:vAlign w:val="center"/>
          </w:tcPr>
          <w:p w14:paraId="0754C02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w:t>
            </w:r>
          </w:p>
        </w:tc>
      </w:tr>
      <w:tr w14:paraId="16F1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651D70B6">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Cholelithiasis</w:t>
            </w:r>
          </w:p>
        </w:tc>
        <w:tc>
          <w:tcPr>
            <w:tcW w:w="1335" w:type="pct"/>
            <w:shd w:val="clear" w:color="auto" w:fill="auto"/>
            <w:tcMar>
              <w:top w:w="40" w:type="dxa"/>
              <w:left w:w="90" w:type="dxa"/>
              <w:bottom w:w="40" w:type="dxa"/>
              <w:right w:w="90" w:type="dxa"/>
            </w:tcMar>
            <w:vAlign w:val="center"/>
          </w:tcPr>
          <w:p w14:paraId="04108613">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r>
      <w:tr w14:paraId="3CE6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646ADF96">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Parkinson’s disease</w:t>
            </w:r>
          </w:p>
        </w:tc>
        <w:tc>
          <w:tcPr>
            <w:tcW w:w="1335" w:type="pct"/>
            <w:shd w:val="clear" w:color="auto" w:fill="auto"/>
            <w:tcMar>
              <w:top w:w="40" w:type="dxa"/>
              <w:left w:w="90" w:type="dxa"/>
              <w:bottom w:w="40" w:type="dxa"/>
              <w:right w:w="90" w:type="dxa"/>
            </w:tcMar>
            <w:vAlign w:val="center"/>
          </w:tcPr>
          <w:p w14:paraId="3420C863">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r>
      <w:tr w14:paraId="6EF3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73BA8A6D">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Hypokalaemia</w:t>
            </w:r>
          </w:p>
        </w:tc>
        <w:tc>
          <w:tcPr>
            <w:tcW w:w="1335" w:type="pct"/>
            <w:shd w:val="clear" w:color="auto" w:fill="auto"/>
            <w:tcMar>
              <w:top w:w="40" w:type="dxa"/>
              <w:left w:w="90" w:type="dxa"/>
              <w:bottom w:w="40" w:type="dxa"/>
              <w:right w:w="90" w:type="dxa"/>
            </w:tcMar>
            <w:vAlign w:val="center"/>
          </w:tcPr>
          <w:p w14:paraId="25C1655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r>
      <w:tr w14:paraId="5C1F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shd w:val="clear" w:color="auto" w:fill="auto"/>
            <w:tcMar>
              <w:top w:w="40" w:type="dxa"/>
              <w:left w:w="90" w:type="dxa"/>
              <w:bottom w:w="40" w:type="dxa"/>
              <w:right w:w="90" w:type="dxa"/>
            </w:tcMar>
            <w:vAlign w:val="center"/>
          </w:tcPr>
          <w:p w14:paraId="047F9B9A">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Chronic obstructive pulmonary disease</w:t>
            </w:r>
          </w:p>
        </w:tc>
        <w:tc>
          <w:tcPr>
            <w:tcW w:w="1335" w:type="pct"/>
            <w:shd w:val="clear" w:color="auto" w:fill="auto"/>
            <w:tcMar>
              <w:top w:w="40" w:type="dxa"/>
              <w:left w:w="90" w:type="dxa"/>
              <w:bottom w:w="40" w:type="dxa"/>
              <w:right w:w="90" w:type="dxa"/>
            </w:tcMar>
            <w:vAlign w:val="center"/>
          </w:tcPr>
          <w:p w14:paraId="1215679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r>
      <w:tr w14:paraId="73E5A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3664" w:type="pct"/>
            <w:tcBorders>
              <w:bottom w:val="single" w:color="auto" w:sz="4" w:space="0"/>
            </w:tcBorders>
            <w:shd w:val="clear" w:color="auto" w:fill="auto"/>
            <w:tcMar>
              <w:top w:w="40" w:type="dxa"/>
              <w:left w:w="90" w:type="dxa"/>
              <w:bottom w:w="40" w:type="dxa"/>
              <w:right w:w="90" w:type="dxa"/>
            </w:tcMar>
            <w:vAlign w:val="center"/>
          </w:tcPr>
          <w:p w14:paraId="1DC8531B">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Anaemia</w:t>
            </w:r>
          </w:p>
        </w:tc>
        <w:tc>
          <w:tcPr>
            <w:tcW w:w="1335" w:type="pct"/>
            <w:tcBorders>
              <w:bottom w:val="single" w:color="auto" w:sz="4" w:space="0"/>
            </w:tcBorders>
            <w:shd w:val="clear" w:color="auto" w:fill="auto"/>
            <w:tcMar>
              <w:top w:w="40" w:type="dxa"/>
              <w:left w:w="90" w:type="dxa"/>
              <w:bottom w:w="40" w:type="dxa"/>
              <w:right w:w="90" w:type="dxa"/>
            </w:tcMar>
            <w:vAlign w:val="center"/>
          </w:tcPr>
          <w:p w14:paraId="76D3BFF3">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r>
    </w:tbl>
    <w:p w14:paraId="5D91BE18">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i/>
          <w:iCs/>
          <w:sz w:val="24"/>
          <w:szCs w:val="24"/>
        </w:rPr>
        <w:t>Values are as recorded in the source dataset. Comorbidities are not mutually exclusive; some patients carried more than one condition.</w:t>
      </w:r>
    </w:p>
    <w:p w14:paraId="7A8C6891">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Drug-related problems are summarised in Table 4. At least one potential drug–drug interaction was documented in 8 patients (16%), an adverse drug reaction in 5 (10%) and a dosing error-predominantly overdose-in 3 (6%). Adverse reactions encountered included gastrointestinal disturbances such as diarrhoea, constipation, nausea and vomiting. These categories were not mutually exclusive, and several patients carried more than one type of problem.</w:t>
      </w:r>
    </w:p>
    <w:p w14:paraId="6FBA1689">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b/>
          <w:bCs/>
          <w:i/>
          <w:iCs/>
          <w:sz w:val="24"/>
          <w:szCs w:val="24"/>
        </w:rPr>
      </w:pPr>
      <w:r>
        <w:rPr>
          <w:rFonts w:hint="default" w:ascii="Segoe UI Historic" w:hAnsi="Segoe UI Historic" w:cs="Segoe UI Historic"/>
          <w:b/>
          <w:bCs/>
          <w:i w:val="0"/>
          <w:iCs w:val="0"/>
          <w:sz w:val="24"/>
          <w:szCs w:val="24"/>
        </w:rPr>
        <w:t xml:space="preserve">Table 4. </w:t>
      </w:r>
      <w:r>
        <w:rPr>
          <w:rFonts w:hint="default" w:ascii="Segoe UI Historic" w:hAnsi="Segoe UI Historic" w:cs="Segoe UI Historic"/>
          <w:b/>
          <w:bCs/>
          <w:i w:val="0"/>
          <w:iCs w:val="0"/>
          <w:sz w:val="24"/>
          <w:szCs w:val="24"/>
          <w:lang w:val="en-US"/>
        </w:rPr>
        <w:tab/>
      </w:r>
      <w:r>
        <w:rPr>
          <w:rFonts w:hint="default" w:ascii="Segoe UI Historic" w:hAnsi="Segoe UI Historic" w:cs="Segoe UI Historic"/>
          <w:b/>
          <w:bCs/>
          <w:i/>
          <w:iCs/>
          <w:sz w:val="24"/>
          <w:szCs w:val="24"/>
        </w:rPr>
        <w:t>Frequency of drug-related problems (n = 50).</w:t>
      </w:r>
    </w:p>
    <w:tbl>
      <w:tblPr>
        <w:tblStyle w:val="7"/>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 w:type="dxa"/>
          <w:bottom w:w="0" w:type="dxa"/>
          <w:right w:w="10" w:type="dxa"/>
        </w:tblCellMar>
      </w:tblPr>
      <w:tblGrid>
        <w:gridCol w:w="4648"/>
        <w:gridCol w:w="1223"/>
        <w:gridCol w:w="1425"/>
        <w:gridCol w:w="2240"/>
      </w:tblGrid>
      <w:tr w14:paraId="47FBD4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blHeader/>
        </w:trPr>
        <w:tc>
          <w:tcPr>
            <w:tcW w:w="2436"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2FE69F8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Drug-related problem</w:t>
            </w:r>
          </w:p>
        </w:tc>
        <w:tc>
          <w:tcPr>
            <w:tcW w:w="641"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638AC8A8">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n</w:t>
            </w:r>
          </w:p>
        </w:tc>
        <w:tc>
          <w:tcPr>
            <w:tcW w:w="747"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66D73852">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w:t>
            </w:r>
          </w:p>
        </w:tc>
        <w:tc>
          <w:tcPr>
            <w:tcW w:w="1174"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6B55005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95% CI</w:t>
            </w:r>
          </w:p>
        </w:tc>
      </w:tr>
      <w:tr w14:paraId="37E652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436" w:type="pct"/>
            <w:tcBorders>
              <w:top w:val="single" w:color="auto" w:sz="4" w:space="0"/>
            </w:tcBorders>
            <w:shd w:val="clear" w:color="auto" w:fill="auto"/>
            <w:tcMar>
              <w:top w:w="40" w:type="dxa"/>
              <w:left w:w="90" w:type="dxa"/>
              <w:bottom w:w="40" w:type="dxa"/>
              <w:right w:w="90" w:type="dxa"/>
            </w:tcMar>
            <w:vAlign w:val="center"/>
          </w:tcPr>
          <w:p w14:paraId="3BCD1F3A">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Potential drug–drug interaction</w:t>
            </w:r>
          </w:p>
        </w:tc>
        <w:tc>
          <w:tcPr>
            <w:tcW w:w="641" w:type="pct"/>
            <w:tcBorders>
              <w:top w:val="single" w:color="auto" w:sz="4" w:space="0"/>
            </w:tcBorders>
            <w:shd w:val="clear" w:color="auto" w:fill="auto"/>
            <w:tcMar>
              <w:top w:w="40" w:type="dxa"/>
              <w:left w:w="90" w:type="dxa"/>
              <w:bottom w:w="40" w:type="dxa"/>
              <w:right w:w="90" w:type="dxa"/>
            </w:tcMar>
            <w:vAlign w:val="center"/>
          </w:tcPr>
          <w:p w14:paraId="7AE035F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8</w:t>
            </w:r>
          </w:p>
        </w:tc>
        <w:tc>
          <w:tcPr>
            <w:tcW w:w="747" w:type="pct"/>
            <w:tcBorders>
              <w:top w:val="single" w:color="auto" w:sz="4" w:space="0"/>
            </w:tcBorders>
            <w:shd w:val="clear" w:color="auto" w:fill="auto"/>
            <w:tcMar>
              <w:top w:w="40" w:type="dxa"/>
              <w:left w:w="90" w:type="dxa"/>
              <w:bottom w:w="40" w:type="dxa"/>
              <w:right w:w="90" w:type="dxa"/>
            </w:tcMar>
            <w:vAlign w:val="center"/>
          </w:tcPr>
          <w:p w14:paraId="4B06556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16.0</w:t>
            </w:r>
          </w:p>
        </w:tc>
        <w:tc>
          <w:tcPr>
            <w:tcW w:w="1174" w:type="pct"/>
            <w:tcBorders>
              <w:top w:val="single" w:color="auto" w:sz="4" w:space="0"/>
            </w:tcBorders>
            <w:shd w:val="clear" w:color="auto" w:fill="auto"/>
            <w:tcMar>
              <w:top w:w="40" w:type="dxa"/>
              <w:left w:w="90" w:type="dxa"/>
              <w:bottom w:w="40" w:type="dxa"/>
              <w:right w:w="90" w:type="dxa"/>
            </w:tcMar>
            <w:vAlign w:val="center"/>
          </w:tcPr>
          <w:p w14:paraId="00E92F0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8.3–28.5</w:t>
            </w:r>
          </w:p>
        </w:tc>
      </w:tr>
      <w:tr w14:paraId="5FA2E4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436" w:type="pct"/>
            <w:shd w:val="clear" w:color="auto" w:fill="auto"/>
            <w:tcMar>
              <w:top w:w="40" w:type="dxa"/>
              <w:left w:w="90" w:type="dxa"/>
              <w:bottom w:w="40" w:type="dxa"/>
              <w:right w:w="90" w:type="dxa"/>
            </w:tcMar>
            <w:vAlign w:val="center"/>
          </w:tcPr>
          <w:p w14:paraId="0CF12D3A">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Adverse drug reaction</w:t>
            </w:r>
          </w:p>
        </w:tc>
        <w:tc>
          <w:tcPr>
            <w:tcW w:w="641" w:type="pct"/>
            <w:shd w:val="clear" w:color="auto" w:fill="auto"/>
            <w:tcMar>
              <w:top w:w="40" w:type="dxa"/>
              <w:left w:w="90" w:type="dxa"/>
              <w:bottom w:w="40" w:type="dxa"/>
              <w:right w:w="90" w:type="dxa"/>
            </w:tcMar>
            <w:vAlign w:val="center"/>
          </w:tcPr>
          <w:p w14:paraId="765ECCC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5</w:t>
            </w:r>
          </w:p>
        </w:tc>
        <w:tc>
          <w:tcPr>
            <w:tcW w:w="747" w:type="pct"/>
            <w:shd w:val="clear" w:color="auto" w:fill="auto"/>
            <w:tcMar>
              <w:top w:w="40" w:type="dxa"/>
              <w:left w:w="90" w:type="dxa"/>
              <w:bottom w:w="40" w:type="dxa"/>
              <w:right w:w="90" w:type="dxa"/>
            </w:tcMar>
            <w:vAlign w:val="center"/>
          </w:tcPr>
          <w:p w14:paraId="1C0203D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10.0</w:t>
            </w:r>
          </w:p>
        </w:tc>
        <w:tc>
          <w:tcPr>
            <w:tcW w:w="1174" w:type="pct"/>
            <w:shd w:val="clear" w:color="auto" w:fill="auto"/>
            <w:tcMar>
              <w:top w:w="40" w:type="dxa"/>
              <w:left w:w="90" w:type="dxa"/>
              <w:bottom w:w="40" w:type="dxa"/>
              <w:right w:w="90" w:type="dxa"/>
            </w:tcMar>
            <w:vAlign w:val="center"/>
          </w:tcPr>
          <w:p w14:paraId="2357030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4.3–21.4</w:t>
            </w:r>
          </w:p>
        </w:tc>
      </w:tr>
      <w:tr w14:paraId="613BAF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c>
          <w:tcPr>
            <w:tcW w:w="2436" w:type="pct"/>
            <w:shd w:val="clear" w:color="auto" w:fill="auto"/>
            <w:tcMar>
              <w:top w:w="40" w:type="dxa"/>
              <w:left w:w="90" w:type="dxa"/>
              <w:bottom w:w="40" w:type="dxa"/>
              <w:right w:w="90" w:type="dxa"/>
            </w:tcMar>
            <w:vAlign w:val="center"/>
          </w:tcPr>
          <w:p w14:paraId="4DFEB52B">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Dosing error (overdose)</w:t>
            </w:r>
          </w:p>
        </w:tc>
        <w:tc>
          <w:tcPr>
            <w:tcW w:w="641" w:type="pct"/>
            <w:shd w:val="clear" w:color="auto" w:fill="auto"/>
            <w:tcMar>
              <w:top w:w="40" w:type="dxa"/>
              <w:left w:w="90" w:type="dxa"/>
              <w:bottom w:w="40" w:type="dxa"/>
              <w:right w:w="90" w:type="dxa"/>
            </w:tcMar>
            <w:vAlign w:val="center"/>
          </w:tcPr>
          <w:p w14:paraId="79FCCA3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3</w:t>
            </w:r>
          </w:p>
        </w:tc>
        <w:tc>
          <w:tcPr>
            <w:tcW w:w="747" w:type="pct"/>
            <w:shd w:val="clear" w:color="auto" w:fill="auto"/>
            <w:tcMar>
              <w:top w:w="40" w:type="dxa"/>
              <w:left w:w="90" w:type="dxa"/>
              <w:bottom w:w="40" w:type="dxa"/>
              <w:right w:w="90" w:type="dxa"/>
            </w:tcMar>
            <w:vAlign w:val="center"/>
          </w:tcPr>
          <w:p w14:paraId="4C820D4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6.0</w:t>
            </w:r>
          </w:p>
        </w:tc>
        <w:tc>
          <w:tcPr>
            <w:tcW w:w="1174" w:type="pct"/>
            <w:shd w:val="clear" w:color="auto" w:fill="auto"/>
            <w:tcMar>
              <w:top w:w="40" w:type="dxa"/>
              <w:left w:w="90" w:type="dxa"/>
              <w:bottom w:w="40" w:type="dxa"/>
              <w:right w:w="90" w:type="dxa"/>
            </w:tcMar>
            <w:vAlign w:val="center"/>
          </w:tcPr>
          <w:p w14:paraId="7062CC51">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2.1–16.2</w:t>
            </w:r>
          </w:p>
        </w:tc>
      </w:tr>
    </w:tbl>
    <w:p w14:paraId="049751F9">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i/>
          <w:iCs/>
          <w:sz w:val="24"/>
          <w:szCs w:val="24"/>
        </w:rPr>
        <w:t>CI, confidence interval (Wilson score method). Percentages are calculated against the full sample (n = 50). Note: the source thesis reported these problems as 26.6%, 16.6% and 10% respectively, values that correspond to a denominator of 30 rather than 50; the figures above use the correct denominator while preserving the original event counts.</w:t>
      </w:r>
    </w:p>
    <w:p w14:paraId="11BFC8C5">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specific interacting pairs identified most often are detailed in Table 5. Pharmacodynamic interactions predominated. Additive blood-pressure lowering from combined renin–angiotensin blockade and calcium-channel blockade, and from renin–angiotensin blockers combined with nitrates, was the most frequent concern. Co-prescription of aspirin or a non-steroidal anti-inflammatory drug with furosemide, with the potential to blunt the diuretic response and impair renal function, was also common, as were antiplatelet–anticoagulant combinations (for example clopidogrel or aspirin with enoxaparin, rivaroxaban or warfarin) that additively increase bleeding risk. The principal pharmacokinetic interaction was between clopidogrel and omeprazole, mediated by inhibition of cytochrome P450 2C19.</w:t>
      </w:r>
    </w:p>
    <w:p w14:paraId="79641D6F">
      <w:pPr>
        <w:keepNext/>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b/>
          <w:bCs/>
          <w:i/>
          <w:iCs/>
          <w:sz w:val="24"/>
          <w:szCs w:val="24"/>
        </w:rPr>
      </w:pPr>
      <w:r>
        <w:rPr>
          <w:rFonts w:hint="default" w:ascii="Segoe UI Historic" w:hAnsi="Segoe UI Historic" w:cs="Segoe UI Historic"/>
          <w:b/>
          <w:bCs/>
          <w:i w:val="0"/>
          <w:iCs w:val="0"/>
          <w:sz w:val="24"/>
          <w:szCs w:val="24"/>
        </w:rPr>
        <w:t xml:space="preserve">Table 5. </w:t>
      </w:r>
      <w:r>
        <w:rPr>
          <w:rFonts w:hint="default" w:ascii="Segoe UI Historic" w:hAnsi="Segoe UI Historic" w:cs="Segoe UI Historic"/>
          <w:b/>
          <w:bCs/>
          <w:i/>
          <w:iCs/>
          <w:sz w:val="24"/>
          <w:szCs w:val="24"/>
        </w:rPr>
        <w:t>Most frequently identified potential drug–drug interactions and their mechanisms.</w:t>
      </w:r>
    </w:p>
    <w:tbl>
      <w:tblPr>
        <w:tblStyle w:val="7"/>
        <w:tblW w:w="5000" w:type="pct"/>
        <w:tblInd w:w="0" w:type="dxa"/>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Layout w:type="autofit"/>
        <w:tblCellMar>
          <w:top w:w="0" w:type="dxa"/>
          <w:left w:w="10" w:type="dxa"/>
          <w:bottom w:w="0" w:type="dxa"/>
          <w:right w:w="10" w:type="dxa"/>
        </w:tblCellMar>
      </w:tblPr>
      <w:tblGrid>
        <w:gridCol w:w="4462"/>
        <w:gridCol w:w="2254"/>
        <w:gridCol w:w="2824"/>
      </w:tblGrid>
      <w:tr w14:paraId="62E89CB3">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rPr>
          <w:tblHeader/>
        </w:trPr>
        <w:tc>
          <w:tcPr>
            <w:tcW w:w="2338"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023E25FC">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Interacting pair</w:t>
            </w:r>
          </w:p>
        </w:tc>
        <w:tc>
          <w:tcPr>
            <w:tcW w:w="1181"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033127E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Type</w:t>
            </w:r>
          </w:p>
        </w:tc>
        <w:tc>
          <w:tcPr>
            <w:tcW w:w="1480" w:type="pct"/>
            <w:tcBorders>
              <w:top w:val="single" w:color="auto" w:sz="4" w:space="0"/>
              <w:bottom w:val="single" w:color="auto" w:sz="4" w:space="0"/>
            </w:tcBorders>
            <w:shd w:val="clear" w:color="auto" w:fill="auto"/>
            <w:tcMar>
              <w:top w:w="50" w:type="dxa"/>
              <w:left w:w="90" w:type="dxa"/>
              <w:bottom w:w="50" w:type="dxa"/>
              <w:right w:w="90" w:type="dxa"/>
            </w:tcMar>
            <w:vAlign w:val="center"/>
          </w:tcPr>
          <w:p w14:paraId="70D8188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Potential clinical effect</w:t>
            </w:r>
          </w:p>
        </w:tc>
      </w:tr>
      <w:tr w14:paraId="691A6A4E">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tcBorders>
              <w:top w:val="single" w:color="auto" w:sz="4" w:space="0"/>
            </w:tcBorders>
            <w:shd w:val="clear" w:color="auto" w:fill="auto"/>
            <w:tcMar>
              <w:top w:w="40" w:type="dxa"/>
              <w:left w:w="90" w:type="dxa"/>
              <w:bottom w:w="40" w:type="dxa"/>
              <w:right w:w="90" w:type="dxa"/>
            </w:tcMar>
            <w:vAlign w:val="center"/>
          </w:tcPr>
          <w:p w14:paraId="7E2E22F5">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ACE inhibitor (ramipril) + amlodipine ± valsartan</w:t>
            </w:r>
          </w:p>
        </w:tc>
        <w:tc>
          <w:tcPr>
            <w:tcW w:w="1181" w:type="pct"/>
            <w:tcBorders>
              <w:top w:val="single" w:color="auto" w:sz="4" w:space="0"/>
            </w:tcBorders>
            <w:shd w:val="clear" w:color="auto" w:fill="auto"/>
            <w:tcMar>
              <w:top w:w="40" w:type="dxa"/>
              <w:left w:w="90" w:type="dxa"/>
              <w:bottom w:w="40" w:type="dxa"/>
              <w:right w:w="90" w:type="dxa"/>
            </w:tcMar>
            <w:vAlign w:val="center"/>
          </w:tcPr>
          <w:p w14:paraId="790BCBC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tcBorders>
              <w:top w:val="single" w:color="auto" w:sz="4" w:space="0"/>
            </w:tcBorders>
            <w:shd w:val="clear" w:color="auto" w:fill="auto"/>
            <w:tcMar>
              <w:top w:w="40" w:type="dxa"/>
              <w:left w:w="90" w:type="dxa"/>
              <w:bottom w:w="40" w:type="dxa"/>
              <w:right w:w="90" w:type="dxa"/>
            </w:tcMar>
            <w:vAlign w:val="center"/>
          </w:tcPr>
          <w:p w14:paraId="12375C0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Additive hypotension; dual renin–angiotensin blockade is discouraged</w:t>
            </w:r>
          </w:p>
        </w:tc>
      </w:tr>
      <w:tr w14:paraId="40715DC3">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0268DEC8">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ACE inhibitor (ramipril) + NSAID (diclofenac)</w:t>
            </w:r>
          </w:p>
        </w:tc>
        <w:tc>
          <w:tcPr>
            <w:tcW w:w="1181" w:type="pct"/>
            <w:shd w:val="clear" w:color="auto" w:fill="auto"/>
            <w:tcMar>
              <w:top w:w="40" w:type="dxa"/>
              <w:left w:w="90" w:type="dxa"/>
              <w:bottom w:w="40" w:type="dxa"/>
              <w:right w:w="90" w:type="dxa"/>
            </w:tcMar>
            <w:vAlign w:val="center"/>
          </w:tcPr>
          <w:p w14:paraId="58B760D0">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shd w:val="clear" w:color="auto" w:fill="auto"/>
            <w:tcMar>
              <w:top w:w="40" w:type="dxa"/>
              <w:left w:w="90" w:type="dxa"/>
              <w:bottom w:w="40" w:type="dxa"/>
              <w:right w:w="90" w:type="dxa"/>
            </w:tcMar>
            <w:vAlign w:val="center"/>
          </w:tcPr>
          <w:p w14:paraId="365FA335">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Reduced antihypertensive effect; increased renal and hyperkalaemia risk</w:t>
            </w:r>
          </w:p>
        </w:tc>
      </w:tr>
      <w:tr w14:paraId="3626A008">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42E2F18A">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Aspirin or NSAID + furosemide</w:t>
            </w:r>
          </w:p>
        </w:tc>
        <w:tc>
          <w:tcPr>
            <w:tcW w:w="1181" w:type="pct"/>
            <w:shd w:val="clear" w:color="auto" w:fill="auto"/>
            <w:tcMar>
              <w:top w:w="40" w:type="dxa"/>
              <w:left w:w="90" w:type="dxa"/>
              <w:bottom w:w="40" w:type="dxa"/>
              <w:right w:w="90" w:type="dxa"/>
            </w:tcMar>
            <w:vAlign w:val="center"/>
          </w:tcPr>
          <w:p w14:paraId="4B05563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shd w:val="clear" w:color="auto" w:fill="auto"/>
            <w:tcMar>
              <w:top w:w="40" w:type="dxa"/>
              <w:left w:w="90" w:type="dxa"/>
              <w:bottom w:w="40" w:type="dxa"/>
              <w:right w:w="90" w:type="dxa"/>
            </w:tcMar>
            <w:vAlign w:val="center"/>
          </w:tcPr>
          <w:p w14:paraId="1814C30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Attenuated diuretic and natriuretic response</w:t>
            </w:r>
          </w:p>
        </w:tc>
      </w:tr>
      <w:tr w14:paraId="7ED40A43">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18F6CFBC">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Antiplatelet (aspirin/clopidogrel) + anticoagulant (enoxaparin/rivaroxaban/warfarin)</w:t>
            </w:r>
          </w:p>
        </w:tc>
        <w:tc>
          <w:tcPr>
            <w:tcW w:w="1181" w:type="pct"/>
            <w:shd w:val="clear" w:color="auto" w:fill="auto"/>
            <w:tcMar>
              <w:top w:w="40" w:type="dxa"/>
              <w:left w:w="90" w:type="dxa"/>
              <w:bottom w:w="40" w:type="dxa"/>
              <w:right w:w="90" w:type="dxa"/>
            </w:tcMar>
            <w:vAlign w:val="center"/>
          </w:tcPr>
          <w:p w14:paraId="65F3A716">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shd w:val="clear" w:color="auto" w:fill="auto"/>
            <w:tcMar>
              <w:top w:w="40" w:type="dxa"/>
              <w:left w:w="90" w:type="dxa"/>
              <w:bottom w:w="40" w:type="dxa"/>
              <w:right w:w="90" w:type="dxa"/>
            </w:tcMar>
            <w:vAlign w:val="center"/>
          </w:tcPr>
          <w:p w14:paraId="4DF8B55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Additive bleeding risk</w:t>
            </w:r>
          </w:p>
        </w:tc>
      </w:tr>
      <w:tr w14:paraId="34B56B5D">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2F683B8A">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Clopidogrel + omeprazole</w:t>
            </w:r>
          </w:p>
        </w:tc>
        <w:tc>
          <w:tcPr>
            <w:tcW w:w="1181" w:type="pct"/>
            <w:shd w:val="clear" w:color="auto" w:fill="auto"/>
            <w:tcMar>
              <w:top w:w="40" w:type="dxa"/>
              <w:left w:w="90" w:type="dxa"/>
              <w:bottom w:w="40" w:type="dxa"/>
              <w:right w:w="90" w:type="dxa"/>
            </w:tcMar>
            <w:vAlign w:val="center"/>
          </w:tcPr>
          <w:p w14:paraId="47E03E2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Pharmacokinetic (CYP2C19)</w:t>
            </w:r>
          </w:p>
        </w:tc>
        <w:tc>
          <w:tcPr>
            <w:tcW w:w="1480" w:type="pct"/>
            <w:shd w:val="clear" w:color="auto" w:fill="auto"/>
            <w:tcMar>
              <w:top w:w="40" w:type="dxa"/>
              <w:left w:w="90" w:type="dxa"/>
              <w:bottom w:w="40" w:type="dxa"/>
              <w:right w:w="90" w:type="dxa"/>
            </w:tcMar>
            <w:vAlign w:val="center"/>
          </w:tcPr>
          <w:p w14:paraId="143B092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Reduced conversion of clopidogrel to its active metabolite</w:t>
            </w:r>
          </w:p>
        </w:tc>
      </w:tr>
      <w:tr w14:paraId="30788D1B">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282CBBF1">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Clopidogrel + rosuvastatin</w:t>
            </w:r>
          </w:p>
        </w:tc>
        <w:tc>
          <w:tcPr>
            <w:tcW w:w="1181" w:type="pct"/>
            <w:shd w:val="clear" w:color="auto" w:fill="auto"/>
            <w:tcMar>
              <w:top w:w="40" w:type="dxa"/>
              <w:left w:w="90" w:type="dxa"/>
              <w:bottom w:w="40" w:type="dxa"/>
              <w:right w:w="90" w:type="dxa"/>
            </w:tcMar>
            <w:vAlign w:val="center"/>
          </w:tcPr>
          <w:p w14:paraId="1E3B7C1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Pharmacokinetic</w:t>
            </w:r>
          </w:p>
        </w:tc>
        <w:tc>
          <w:tcPr>
            <w:tcW w:w="1480" w:type="pct"/>
            <w:shd w:val="clear" w:color="auto" w:fill="auto"/>
            <w:tcMar>
              <w:top w:w="40" w:type="dxa"/>
              <w:left w:w="90" w:type="dxa"/>
              <w:bottom w:w="40" w:type="dxa"/>
              <w:right w:w="90" w:type="dxa"/>
            </w:tcMar>
            <w:vAlign w:val="center"/>
          </w:tcPr>
          <w:p w14:paraId="206813AE">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Possible reduced clopidogrel activation (weaker evidence)</w:t>
            </w:r>
          </w:p>
        </w:tc>
      </w:tr>
      <w:tr w14:paraId="488CD41C">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768B6C27">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Digoxin + omeprazole</w:t>
            </w:r>
          </w:p>
        </w:tc>
        <w:tc>
          <w:tcPr>
            <w:tcW w:w="1181" w:type="pct"/>
            <w:shd w:val="clear" w:color="auto" w:fill="auto"/>
            <w:tcMar>
              <w:top w:w="40" w:type="dxa"/>
              <w:left w:w="90" w:type="dxa"/>
              <w:bottom w:w="40" w:type="dxa"/>
              <w:right w:w="90" w:type="dxa"/>
            </w:tcMar>
            <w:vAlign w:val="center"/>
          </w:tcPr>
          <w:p w14:paraId="3049B8BB">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Pharmacokinetic</w:t>
            </w:r>
          </w:p>
        </w:tc>
        <w:tc>
          <w:tcPr>
            <w:tcW w:w="1480" w:type="pct"/>
            <w:shd w:val="clear" w:color="auto" w:fill="auto"/>
            <w:tcMar>
              <w:top w:w="40" w:type="dxa"/>
              <w:left w:w="90" w:type="dxa"/>
              <w:bottom w:w="40" w:type="dxa"/>
              <w:right w:w="90" w:type="dxa"/>
            </w:tcMar>
            <w:vAlign w:val="center"/>
          </w:tcPr>
          <w:p w14:paraId="0885277C">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Increased plasma digoxin concentration</w:t>
            </w:r>
          </w:p>
        </w:tc>
      </w:tr>
      <w:tr w14:paraId="25E5559B">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33617EC4">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Loop diuretic + antidiabetic agent</w:t>
            </w:r>
          </w:p>
        </w:tc>
        <w:tc>
          <w:tcPr>
            <w:tcW w:w="1181" w:type="pct"/>
            <w:shd w:val="clear" w:color="auto" w:fill="auto"/>
            <w:tcMar>
              <w:top w:w="40" w:type="dxa"/>
              <w:left w:w="90" w:type="dxa"/>
              <w:bottom w:w="40" w:type="dxa"/>
              <w:right w:w="90" w:type="dxa"/>
            </w:tcMar>
            <w:vAlign w:val="center"/>
          </w:tcPr>
          <w:p w14:paraId="00B96D09">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shd w:val="clear" w:color="auto" w:fill="auto"/>
            <w:tcMar>
              <w:top w:w="40" w:type="dxa"/>
              <w:left w:w="90" w:type="dxa"/>
              <w:bottom w:w="40" w:type="dxa"/>
              <w:right w:w="90" w:type="dxa"/>
            </w:tcMar>
            <w:vAlign w:val="center"/>
          </w:tcPr>
          <w:p w14:paraId="045C37FA">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Antagonism of glucose-lowering effect</w:t>
            </w:r>
          </w:p>
        </w:tc>
      </w:tr>
      <w:tr w14:paraId="4327656C">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0929352D">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Losartan + spironolactone</w:t>
            </w:r>
          </w:p>
        </w:tc>
        <w:tc>
          <w:tcPr>
            <w:tcW w:w="1181" w:type="pct"/>
            <w:shd w:val="clear" w:color="auto" w:fill="auto"/>
            <w:tcMar>
              <w:top w:w="40" w:type="dxa"/>
              <w:left w:w="90" w:type="dxa"/>
              <w:bottom w:w="40" w:type="dxa"/>
              <w:right w:w="90" w:type="dxa"/>
            </w:tcMar>
            <w:vAlign w:val="center"/>
          </w:tcPr>
          <w:p w14:paraId="5D2ADB17">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shd w:val="clear" w:color="auto" w:fill="auto"/>
            <w:tcMar>
              <w:top w:w="40" w:type="dxa"/>
              <w:left w:w="90" w:type="dxa"/>
              <w:bottom w:w="40" w:type="dxa"/>
              <w:right w:w="90" w:type="dxa"/>
            </w:tcMar>
            <w:vAlign w:val="center"/>
          </w:tcPr>
          <w:p w14:paraId="24A9ECDF">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Hyperkalaemia and renal impairment risk</w:t>
            </w:r>
          </w:p>
        </w:tc>
      </w:tr>
      <w:tr w14:paraId="34FFB78C">
        <w:tblPrEx>
          <w:tblBorders>
            <w:top w:val="single" w:color="444444" w:sz="4" w:space="0"/>
            <w:left w:val="none" w:color="FFFFFF" w:sz="0" w:space="0"/>
            <w:bottom w:val="single" w:color="444444" w:sz="4" w:space="0"/>
            <w:right w:val="none" w:color="FFFFFF" w:sz="0" w:space="0"/>
            <w:insideH w:val="single" w:color="BBBBBB" w:sz="2" w:space="0"/>
            <w:insideV w:val="none" w:color="FFFFFF" w:sz="0" w:space="0"/>
          </w:tblBorders>
          <w:shd w:val="clear" w:color="auto" w:fill="auto"/>
          <w:tblCellMar>
            <w:top w:w="0" w:type="dxa"/>
            <w:left w:w="10" w:type="dxa"/>
            <w:bottom w:w="0" w:type="dxa"/>
            <w:right w:w="10" w:type="dxa"/>
          </w:tblCellMar>
        </w:tblPrEx>
        <w:tc>
          <w:tcPr>
            <w:tcW w:w="2338" w:type="pct"/>
            <w:shd w:val="clear" w:color="auto" w:fill="auto"/>
            <w:tcMar>
              <w:top w:w="40" w:type="dxa"/>
              <w:left w:w="90" w:type="dxa"/>
              <w:bottom w:w="40" w:type="dxa"/>
              <w:right w:w="90" w:type="dxa"/>
            </w:tcMar>
            <w:vAlign w:val="center"/>
          </w:tcPr>
          <w:p w14:paraId="6BF4A6B3">
            <w:pPr>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Amitriptyline + tramadol</w:t>
            </w:r>
          </w:p>
        </w:tc>
        <w:tc>
          <w:tcPr>
            <w:tcW w:w="1181" w:type="pct"/>
            <w:shd w:val="clear" w:color="auto" w:fill="auto"/>
            <w:tcMar>
              <w:top w:w="40" w:type="dxa"/>
              <w:left w:w="90" w:type="dxa"/>
              <w:bottom w:w="40" w:type="dxa"/>
              <w:right w:w="90" w:type="dxa"/>
            </w:tcMar>
            <w:vAlign w:val="center"/>
          </w:tcPr>
          <w:p w14:paraId="52C5060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Pharmacodynamic</w:t>
            </w:r>
          </w:p>
        </w:tc>
        <w:tc>
          <w:tcPr>
            <w:tcW w:w="1480" w:type="pct"/>
            <w:shd w:val="clear" w:color="auto" w:fill="auto"/>
            <w:tcMar>
              <w:top w:w="40" w:type="dxa"/>
              <w:left w:w="90" w:type="dxa"/>
              <w:bottom w:w="40" w:type="dxa"/>
              <w:right w:w="90" w:type="dxa"/>
            </w:tcMar>
            <w:vAlign w:val="center"/>
          </w:tcPr>
          <w:p w14:paraId="5A576A84">
            <w:pPr>
              <w:keepLines w:val="0"/>
              <w:pageBreakBefore w:val="0"/>
              <w:widowControl/>
              <w:kinsoku/>
              <w:wordWrap/>
              <w:overflowPunct/>
              <w:topLinePunct w:val="0"/>
              <w:autoSpaceDE/>
              <w:autoSpaceDN/>
              <w:bidi w:val="0"/>
              <w:adjustRightInd/>
              <w:snapToGrid/>
              <w:spacing w:beforeAutospacing="0" w:afterAutospacing="0" w:line="240" w:lineRule="auto"/>
              <w:ind w:left="0"/>
              <w:jc w:val="center"/>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Serotonin syndrome and seizure risk</w:t>
            </w:r>
          </w:p>
        </w:tc>
      </w:tr>
    </w:tbl>
    <w:p w14:paraId="7BD6B8F8">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i/>
          <w:iCs/>
          <w:sz w:val="24"/>
          <w:szCs w:val="24"/>
        </w:rPr>
        <w:t>ACE, angiotensin-converting enzyme; CYP2C19, cytochrome P450 2C19; NSAID, non-steroidal anti-inflammatory drug.</w:t>
      </w:r>
    </w:p>
    <w:p w14:paraId="12A1217E">
      <w:pPr>
        <w:pStyle w:val="2"/>
        <w:keepNext/>
        <w:keepLines w:val="0"/>
        <w:pageBreakBefore w:val="0"/>
        <w:widowControl/>
        <w:kinsoku/>
        <w:wordWrap/>
        <w:overflowPunct/>
        <w:topLinePunct w:val="0"/>
        <w:autoSpaceDE/>
        <w:autoSpaceDN/>
        <w:bidi w:val="0"/>
        <w:adjustRightInd/>
        <w:snapToGrid/>
        <w:spacing w:before="0" w:beforeAutospacing="0" w:after="0" w:afterAutospacing="0" w:line="240" w:lineRule="auto"/>
        <w:ind w:left="0"/>
        <w:textAlignment w:val="auto"/>
        <w:rPr>
          <w:rFonts w:hint="default" w:ascii="Segoe UI Historic" w:hAnsi="Segoe UI Historic" w:cs="Segoe UI Historic"/>
          <w:color w:val="auto"/>
          <w:sz w:val="24"/>
          <w:szCs w:val="24"/>
        </w:rPr>
      </w:pPr>
      <w:r>
        <w:rPr>
          <w:rFonts w:hint="default" w:ascii="Segoe UI Historic" w:hAnsi="Segoe UI Historic" w:cs="Segoe UI Historic"/>
          <w:b/>
          <w:bCs/>
          <w:color w:val="auto"/>
          <w:sz w:val="24"/>
          <w:szCs w:val="24"/>
        </w:rPr>
        <w:t>DISCUSSION</w:t>
      </w:r>
    </w:p>
    <w:p w14:paraId="4B7A78DC">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This cross-sectional evaluation of 50 patients admitted with hypertension to a tertiary care hospital in Peshawar provides a granular picture of antihypertensive prescribing and its attendant safety problems in a resource-limited setting. Three findings stand out: a heavily diuretic- and antiplatelet-oriented prescribing pattern that only partly aligns with guideline-preferred first-line therapy; a high comorbidity burden dominated by diabetes, heart failure and chronic kidney disease; and a measurable prevalence of potential drug–drug interactions, adverse drug reactions and dosing errors.</w:t>
      </w:r>
    </w:p>
    <w:p w14:paraId="36A69945">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female predominance observed here (64%) contrasts with much of the Pakistani epidemiological literature, in which hypertension is often reported to be at least as common in men.</w:t>
      </w:r>
      <w:r>
        <w:rPr>
          <w:rFonts w:hint="default" w:ascii="Segoe UI Historic" w:hAnsi="Segoe UI Historic" w:cs="Segoe UI Historic"/>
          <w:sz w:val="24"/>
          <w:szCs w:val="24"/>
          <w:vertAlign w:val="superscript"/>
        </w:rPr>
        <w:t>10</w:t>
      </w:r>
      <w:r>
        <w:rPr>
          <w:rFonts w:hint="default" w:ascii="Segoe UI Historic" w:hAnsi="Segoe UI Historic" w:cs="Segoe UI Historic"/>
          <w:sz w:val="24"/>
          <w:szCs w:val="24"/>
        </w:rPr>
        <w:t xml:space="preserve"> This most likely reflects care-seeking and referral dynamics in an admitted, symptomatic population rather than a true sex difference in prevalence, and it should be interpreted cautiously given the small sample. The finding that almost two-thirds of patients were referred from outside Peshawar is consistent with the institution’s function as a provincial referral centre and has implications for continuity of care and medication reconciliation after discharge.</w:t>
      </w:r>
    </w:p>
    <w:p w14:paraId="6B1D3BFD">
      <w:pPr>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prescribing pattern merits scrutiny. Current guidelines position renin–angiotensin blockers, calcium-channel blockers and thiazide-type diuretics as first-line agents, ideally as single-pill combinations.</w:t>
      </w:r>
      <w:r>
        <w:rPr>
          <w:rFonts w:hint="default" w:ascii="Segoe UI Historic" w:hAnsi="Segoe UI Historic" w:cs="Segoe UI Historic"/>
          <w:sz w:val="24"/>
          <w:szCs w:val="24"/>
          <w:vertAlign w:val="superscript"/>
        </w:rPr>
        <w:t>5,6,7</w:t>
      </w:r>
      <w:r>
        <w:rPr>
          <w:rFonts w:hint="default" w:ascii="Segoe UI Historic" w:hAnsi="Segoe UI Historic" w:cs="Segoe UI Historic"/>
          <w:sz w:val="24"/>
          <w:szCs w:val="24"/>
        </w:rPr>
        <w:t xml:space="preserve"> In this cohort loop diuretic use was high, driven by concomitant heart failure and fluid overload, while thiazide-type diuretics—the guideline-preferred antihypertensive diuretic-were essentially absent. A comparable disconnect between guideline recommendations and real-world Pakistani practice, including under-use of thiazides and a preference for branded generics, has been described previously and attributed to prescriber habit, comorbidity and cost dynamics.</w:t>
      </w:r>
      <w:r>
        <w:rPr>
          <w:rFonts w:hint="default" w:ascii="Segoe UI Historic" w:hAnsi="Segoe UI Historic" w:cs="Segoe UI Historic"/>
          <w:sz w:val="24"/>
          <w:szCs w:val="24"/>
          <w:vertAlign w:val="superscript"/>
        </w:rPr>
        <w:t>11,12,13</w:t>
      </w:r>
      <w:r>
        <w:rPr>
          <w:rFonts w:hint="default" w:ascii="Segoe UI Historic" w:hAnsi="Segoe UI Historic" w:cs="Segoe UI Historic"/>
          <w:sz w:val="24"/>
          <w:szCs w:val="24"/>
        </w:rPr>
        <w:t xml:space="preserve"> The frequent pairing of an angiotensin-converting enzyme inhibitor with an angiotensin-receptor blocker or with a calcium-channel blocker beyond what blood-pressure control required is a further concern, since dual renin–angiotensin blockade increases the risk of hypotension, hyperkalaemia and renal impairment without commensurate benefit and is discouraged by guidelines.</w:t>
      </w:r>
      <w:r>
        <w:rPr>
          <w:rFonts w:hint="default" w:ascii="Segoe UI Historic" w:hAnsi="Segoe UI Historic" w:cs="Segoe UI Historic"/>
          <w:sz w:val="24"/>
          <w:szCs w:val="24"/>
          <w:vertAlign w:val="superscript"/>
        </w:rPr>
        <w:t>5,6</w:t>
      </w:r>
    </w:p>
    <w:p w14:paraId="7A49D5F8">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burden of drug-related problems is the study’s central message. Potential interactions were identified in 16% of patients, adverse reactions in 10% and dosing errors in 6%. These figures are broadly consistent with, though at the lower end of, Pakistani hospital data: potential interactions have been reported in about 22% of tertiary-care outpatient prescriptions and in a considerably higher proportion of admitted patients, where prevalence estimates range from roughly one-fifth to more than two-thirds depending on setting and screening method.</w:t>
      </w:r>
      <w:r>
        <w:rPr>
          <w:rFonts w:hint="default" w:ascii="Segoe UI Historic" w:hAnsi="Segoe UI Historic" w:cs="Segoe UI Historic"/>
          <w:sz w:val="24"/>
          <w:szCs w:val="24"/>
          <w:vertAlign w:val="superscript"/>
        </w:rPr>
        <w:t>14,15</w:t>
      </w:r>
      <w:r>
        <w:rPr>
          <w:rFonts w:hint="default" w:ascii="Segoe UI Historic" w:hAnsi="Segoe UI Historic" w:cs="Segoe UI Historic"/>
          <w:sz w:val="24"/>
          <w:szCs w:val="24"/>
        </w:rPr>
        <w:t xml:space="preserve"> A dedicated study of hypertensive inpatients similarly found interactions to be common and predominantly pharmacodynamic.</w:t>
      </w:r>
      <w:r>
        <w:rPr>
          <w:rFonts w:hint="default" w:ascii="Segoe UI Historic" w:hAnsi="Segoe UI Historic" w:cs="Segoe UI Historic"/>
          <w:sz w:val="24"/>
          <w:szCs w:val="24"/>
          <w:vertAlign w:val="superscript"/>
        </w:rPr>
        <w:t>16</w:t>
      </w:r>
      <w:r>
        <w:rPr>
          <w:rFonts w:hint="default" w:ascii="Segoe UI Historic" w:hAnsi="Segoe UI Historic" w:cs="Segoe UI Historic"/>
          <w:sz w:val="24"/>
          <w:szCs w:val="24"/>
        </w:rPr>
        <w:t xml:space="preserve"> The lower rate in the present cohort is most plausibly explained by reliance on manual review rather than automated screening software, which typically detects more interactions; our figures should therefore be regarded as conservative.</w:t>
      </w:r>
    </w:p>
    <w:p w14:paraId="5649C6D2">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Several of the recurring interactions have clear clinical relevance. The pharmacodynamic combinations—renin–angiotensin blocker with calcium-channel blocker or nitrate, aspirin or a non-steroidal anti-inflammatory drug with furosemide, and antiplatelet with anticoagulant—carry tangible risks of hypotension, attenuated diuresis, renal injury and bleeding, and are especially hazardous in the elderly, renally impaired patients who characterised this cohort. The high frequency of chronic kidney disease is particularly relevant, since renally cleared agents and combinations that promote hyperkalaemia demand dose adjustment and monitoring that were seldom documented; comparable concerns have been raised for chronic kidney disease patients elsewhere in Khyber Pakhtunkhwa.</w:t>
      </w:r>
      <w:r>
        <w:rPr>
          <w:rFonts w:hint="default" w:ascii="Segoe UI Historic" w:hAnsi="Segoe UI Historic" w:cs="Segoe UI Historic"/>
          <w:sz w:val="24"/>
          <w:szCs w:val="24"/>
          <w:vertAlign w:val="superscript"/>
        </w:rPr>
        <w:t>17</w:t>
      </w:r>
      <w:r>
        <w:rPr>
          <w:rFonts w:hint="default" w:ascii="Segoe UI Historic" w:hAnsi="Segoe UI Historic" w:cs="Segoe UI Historic"/>
          <w:sz w:val="24"/>
          <w:szCs w:val="24"/>
        </w:rPr>
        <w:t xml:space="preserve"> The clopidogrel–omeprazole interaction warrants a nuanced interpretation: omeprazole inhibits cytochrome P450 2C19 and reduces the formation of clopidogrel’s active metabolite, and expert consensus advises preferring a proton-pump inhibitor with less enzyme inhibition, such as pantoprazole, when gastroprotection is required.</w:t>
      </w:r>
      <w:r>
        <w:rPr>
          <w:rFonts w:hint="default" w:ascii="Segoe UI Historic" w:hAnsi="Segoe UI Historic" w:cs="Segoe UI Historic"/>
          <w:sz w:val="24"/>
          <w:szCs w:val="24"/>
          <w:vertAlign w:val="superscript"/>
        </w:rPr>
        <w:t>18</w:t>
      </w:r>
      <w:r>
        <w:rPr>
          <w:rFonts w:hint="default" w:ascii="Segoe UI Historic" w:hAnsi="Segoe UI Historic" w:cs="Segoe UI Historic"/>
          <w:sz w:val="24"/>
          <w:szCs w:val="24"/>
        </w:rPr>
        <w:t xml:space="preserve"> However, the randomised COGENT trial found no significant difference in cardiovascular events between clopidogrel with omeprazole and clopidogrel alone, so the clinical consequence remains debated even though the pharmacokinetic interaction is real.</w:t>
      </w:r>
      <w:r>
        <w:rPr>
          <w:rFonts w:hint="default" w:ascii="Segoe UI Historic" w:hAnsi="Segoe UI Historic" w:cs="Segoe UI Historic"/>
          <w:sz w:val="24"/>
          <w:szCs w:val="24"/>
          <w:vertAlign w:val="superscript"/>
        </w:rPr>
        <w:t>19</w:t>
      </w:r>
      <w:r>
        <w:rPr>
          <w:rFonts w:hint="default" w:ascii="Segoe UI Historic" w:hAnsi="Segoe UI Historic" w:cs="Segoe UI Historic"/>
          <w:sz w:val="24"/>
          <w:szCs w:val="24"/>
        </w:rPr>
        <w:t xml:space="preserve"> Substituting pantoprazole is nonetheless a simple, low-cost risk-mitigation step.</w:t>
      </w:r>
    </w:p>
    <w:p w14:paraId="229BF16F">
      <w:pPr>
        <w:keepLines w:val="0"/>
        <w:pageBreakBefore w:val="0"/>
        <w:widowControl/>
        <w:kinsoku/>
        <w:wordWrap/>
        <w:overflowPunct/>
        <w:topLinePunct w:val="0"/>
        <w:autoSpaceDE/>
        <w:autoSpaceDN/>
        <w:bidi w:val="0"/>
        <w:adjustRightInd/>
        <w:snapToGrid/>
        <w:spacing w:beforeAutospacing="0" w:afterAutospacing="0" w:line="240" w:lineRule="auto"/>
        <w:ind w:left="0" w:firstLine="7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Taken together, these findings reinforce the case for embedding clinical pharmacists within medical ward teams in Pakistani tertiary care. Pharmacist-led medication review, interaction screening and patient counselling have been shown to improve knowledge, adherence and blood-pressure control among Pakistani hypertensive patients,</w:t>
      </w:r>
      <w:r>
        <w:rPr>
          <w:rFonts w:hint="default" w:ascii="Segoe UI Historic" w:hAnsi="Segoe UI Historic" w:cs="Segoe UI Historic"/>
          <w:sz w:val="24"/>
          <w:szCs w:val="24"/>
          <w:vertAlign w:val="superscript"/>
        </w:rPr>
        <w:t>20</w:t>
      </w:r>
      <w:r>
        <w:rPr>
          <w:rFonts w:hint="default" w:ascii="Segoe UI Historic" w:hAnsi="Segoe UI Historic" w:cs="Segoe UI Historic"/>
          <w:sz w:val="24"/>
          <w:szCs w:val="24"/>
        </w:rPr>
        <w:t xml:space="preserve"> and are directly applicable to the prescribing and safety gaps identified here.</w:t>
      </w:r>
    </w:p>
    <w:p w14:paraId="0CE26427">
      <w:pPr>
        <w:keepNext/>
        <w:keepLines w:val="0"/>
        <w:pageBreakBefore w:val="0"/>
        <w:widowControl/>
        <w:kinsoku/>
        <w:wordWrap/>
        <w:overflowPunct/>
        <w:topLinePunct w:val="0"/>
        <w:autoSpaceDE/>
        <w:autoSpaceDN/>
        <w:bidi w:val="0"/>
        <w:adjustRightInd/>
        <w:snapToGrid/>
        <w:spacing w:beforeAutospacing="0" w:afterAutospacing="0" w:line="240" w:lineRule="auto"/>
        <w:ind w:left="0"/>
        <w:textAlignment w:val="auto"/>
        <w:rPr>
          <w:rFonts w:hint="default" w:ascii="Segoe UI Historic" w:hAnsi="Segoe UI Historic" w:cs="Segoe UI Historic"/>
          <w:i w:val="0"/>
          <w:iCs w:val="0"/>
          <w:sz w:val="24"/>
          <w:szCs w:val="24"/>
        </w:rPr>
      </w:pPr>
      <w:r>
        <w:rPr>
          <w:rFonts w:hint="default" w:ascii="Segoe UI Historic" w:hAnsi="Segoe UI Historic" w:cs="Segoe UI Historic"/>
          <w:b/>
          <w:bCs/>
          <w:i w:val="0"/>
          <w:iCs w:val="0"/>
          <w:sz w:val="24"/>
          <w:szCs w:val="24"/>
        </w:rPr>
        <w:t>Strengths and Limitations</w:t>
      </w:r>
    </w:p>
    <w:p w14:paraId="0168015E">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The principal strengths of this study are its detailed, patient-level medication data, its focus on an under-studied tertiary care population in Khyber Pakhtunkhwa, and its transparent characterisation of specific interacting drug pairs that can directly inform local prescribing alerts. Several limitations must be acknowledged. First, the sample was small (n = 50) and drawn from a single centre over a short period, so the results are exploratory and not generalisable to the wider hypertensive population; the accompanying confidence intervals are correspondingly wide. Second, the design was descriptive, without a comparison group, blood-pressure control outcomes or clinical follow-up, and no causal inference is possible. Third, drug-related problems were identified by manual review rather than validated screening software, probably underestimating their true frequency, and interactions were “potential” rather than confirmed clinical events. Fourth, adherence, over-the-counter and herbal medicine use, and post-discharge outcomes were not captured. These limitations define a clear agenda for larger, multicentre, software-assisted studies.</w:t>
      </w:r>
    </w:p>
    <w:p w14:paraId="7321F7A2">
      <w:pPr>
        <w:pStyle w:val="2"/>
        <w:keepNext/>
        <w:keepLines w:val="0"/>
        <w:pageBreakBefore w:val="0"/>
        <w:widowControl/>
        <w:kinsoku/>
        <w:wordWrap/>
        <w:overflowPunct/>
        <w:topLinePunct w:val="0"/>
        <w:autoSpaceDE/>
        <w:autoSpaceDN/>
        <w:bidi w:val="0"/>
        <w:adjustRightInd/>
        <w:snapToGrid/>
        <w:spacing w:before="0" w:beforeAutospacing="0" w:after="0" w:afterAutospacing="0" w:line="240" w:lineRule="auto"/>
        <w:ind w:left="0"/>
        <w:textAlignment w:val="auto"/>
        <w:rPr>
          <w:rFonts w:hint="default" w:ascii="Segoe UI Historic" w:hAnsi="Segoe UI Historic" w:cs="Segoe UI Historic"/>
          <w:color w:val="auto"/>
          <w:sz w:val="24"/>
          <w:szCs w:val="24"/>
        </w:rPr>
      </w:pPr>
      <w:r>
        <w:rPr>
          <w:rFonts w:hint="default" w:ascii="Segoe UI Historic" w:hAnsi="Segoe UI Historic" w:cs="Segoe UI Historic"/>
          <w:b/>
          <w:bCs/>
          <w:color w:val="auto"/>
          <w:sz w:val="24"/>
          <w:szCs w:val="24"/>
        </w:rPr>
        <w:t>CONCLUSION</w:t>
      </w:r>
    </w:p>
    <w:p w14:paraId="5A6198BE">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sz w:val="24"/>
          <w:szCs w:val="24"/>
        </w:rPr>
        <w:t>In this single-centre cross-sectional study, hypertension in hospitalised patients was managed with prescribing that was frequently guideline-discordant and accompanied by a measurable burden of potential drug–drug interactions, adverse drug reactions and dosing errors, against a backdrop of substantial cardiometabolic and renal comorbidity. Although the small, single-centre sample limits generalisability, the pattern of preventable, largely pharmacodynamic drug-related problems is consistent with wider Pakistani evidence and points to actionable targets for improvement-most notably rational first-line drug selection, avoidance of unnecessary dual renin–angiotensin blockade, safer gastroprotective choices in patients on clopidogrel, and closer renal dose monitoring—supported by the integration of clinical pharmacists into ward care.</w:t>
      </w:r>
    </w:p>
    <w:p w14:paraId="34578A6C">
      <w:pPr>
        <w:pStyle w:val="2"/>
        <w:keepNext/>
        <w:keepLines w:val="0"/>
        <w:pageBreakBefore w:val="0"/>
        <w:widowControl/>
        <w:kinsoku/>
        <w:wordWrap/>
        <w:overflowPunct/>
        <w:topLinePunct w:val="0"/>
        <w:autoSpaceDE/>
        <w:autoSpaceDN/>
        <w:bidi w:val="0"/>
        <w:adjustRightInd/>
        <w:snapToGrid/>
        <w:spacing w:before="0" w:beforeAutospacing="0" w:after="0" w:afterAutospacing="0" w:line="240" w:lineRule="auto"/>
        <w:ind w:left="0"/>
        <w:textAlignment w:val="auto"/>
        <w:rPr>
          <w:rFonts w:hint="default" w:ascii="Segoe UI Historic" w:hAnsi="Segoe UI Historic" w:cs="Segoe UI Historic"/>
          <w:color w:val="auto"/>
          <w:sz w:val="24"/>
          <w:szCs w:val="24"/>
        </w:rPr>
      </w:pPr>
      <w:r>
        <w:rPr>
          <w:rFonts w:hint="default" w:ascii="Segoe UI Historic" w:hAnsi="Segoe UI Historic" w:cs="Segoe UI Historic"/>
          <w:b/>
          <w:bCs/>
          <w:color w:val="auto"/>
          <w:sz w:val="24"/>
          <w:szCs w:val="24"/>
        </w:rPr>
        <w:t>RECOMMENDATIONS</w:t>
      </w:r>
    </w:p>
    <w:p w14:paraId="37F1B4B0">
      <w:pPr>
        <w:pStyle w:val="35"/>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420" w:leftChars="0" w:hanging="4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Clinical</w:t>
      </w:r>
      <w:r>
        <w:rPr>
          <w:rFonts w:hint="default" w:ascii="Segoe UI Historic" w:hAnsi="Segoe UI Historic" w:cs="Segoe UI Historic"/>
          <w:sz w:val="24"/>
          <w:szCs w:val="24"/>
        </w:rPr>
        <w:t>: prescribe guideline-preferred first-line agents, avoid unnecessary dual renin–angiotensin blockade, substitute pantoprazole for omeprazole in patients receiving clopidogrel, and document renal and hepatic dose adjustment for at-risk patients.</w:t>
      </w:r>
    </w:p>
    <w:p w14:paraId="1C60F9E7">
      <w:pPr>
        <w:pStyle w:val="35"/>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420" w:leftChars="0" w:hanging="4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Hospital/system</w:t>
      </w:r>
      <w:r>
        <w:rPr>
          <w:rFonts w:hint="default" w:ascii="Segoe UI Historic" w:hAnsi="Segoe UI Historic" w:cs="Segoe UI Historic"/>
          <w:sz w:val="24"/>
          <w:szCs w:val="24"/>
        </w:rPr>
        <w:t>: introduce routine, ideally software-assisted, drug-interaction screening at prescribing and pharmacy-verification steps, and embed clinical pharmacists within medical ward rounds.</w:t>
      </w:r>
    </w:p>
    <w:p w14:paraId="7E99A5AD">
      <w:pPr>
        <w:pStyle w:val="35"/>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420" w:leftChars="0" w:hanging="4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Educational</w:t>
      </w:r>
      <w:r>
        <w:rPr>
          <w:rFonts w:hint="default" w:ascii="Segoe UI Historic" w:hAnsi="Segoe UI Historic" w:cs="Segoe UI Historic"/>
          <w:sz w:val="24"/>
          <w:szCs w:val="24"/>
        </w:rPr>
        <w:t>: deliver continuing professional development for prescribers on antihypertensive guidelines, high-risk interactions and dose adjustment in renal impairment, and strengthen structured patient counselling at discharge.</w:t>
      </w:r>
    </w:p>
    <w:p w14:paraId="2C713590">
      <w:pPr>
        <w:pStyle w:val="35"/>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420" w:leftChars="0" w:hanging="4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Research</w:t>
      </w:r>
      <w:r>
        <w:rPr>
          <w:rFonts w:hint="default" w:ascii="Segoe UI Historic" w:hAnsi="Segoe UI Historic" w:cs="Segoe UI Historic"/>
          <w:sz w:val="24"/>
          <w:szCs w:val="24"/>
        </w:rPr>
        <w:t>: conduct larger, multicentre, prospective studies using validated interaction-screening tools and blood-pressure control outcomes to quantify and reduce drug-related problems.</w:t>
      </w:r>
    </w:p>
    <w:p w14:paraId="37F24573">
      <w:pPr>
        <w:pStyle w:val="35"/>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420" w:leftChars="0" w:hanging="420" w:firstLineChars="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Policy</w:t>
      </w:r>
      <w:r>
        <w:rPr>
          <w:rFonts w:hint="default" w:ascii="Segoe UI Historic" w:hAnsi="Segoe UI Historic" w:cs="Segoe UI Historic"/>
          <w:sz w:val="24"/>
          <w:szCs w:val="24"/>
        </w:rPr>
        <w:t>: promote adherence to national antihypertensive guidelines and support affordable access to guideline-concordant, preferably single-pill, therapy.</w:t>
      </w:r>
    </w:p>
    <w:p w14:paraId="395C8B27">
      <w:pPr>
        <w:pStyle w:val="2"/>
        <w:keepNext/>
        <w:keepLines w:val="0"/>
        <w:pageBreakBefore w:val="0"/>
        <w:widowControl/>
        <w:kinsoku/>
        <w:wordWrap/>
        <w:overflowPunct/>
        <w:topLinePunct w:val="0"/>
        <w:autoSpaceDE/>
        <w:autoSpaceDN/>
        <w:bidi w:val="0"/>
        <w:adjustRightInd/>
        <w:snapToGrid/>
        <w:spacing w:before="0" w:beforeAutospacing="0" w:after="0" w:afterAutospacing="0" w:line="240" w:lineRule="auto"/>
        <w:ind w:left="0"/>
        <w:textAlignment w:val="auto"/>
        <w:rPr>
          <w:rFonts w:hint="default" w:ascii="Segoe UI Historic" w:hAnsi="Segoe UI Historic" w:cs="Segoe UI Historic"/>
          <w:color w:val="auto"/>
          <w:sz w:val="24"/>
          <w:szCs w:val="24"/>
        </w:rPr>
      </w:pPr>
      <w:r>
        <w:rPr>
          <w:rFonts w:hint="default" w:ascii="Segoe UI Historic" w:hAnsi="Segoe UI Historic" w:cs="Segoe UI Historic"/>
          <w:b/>
          <w:bCs/>
          <w:color w:val="auto"/>
          <w:sz w:val="24"/>
          <w:szCs w:val="24"/>
        </w:rPr>
        <w:t>DECLARATIONS</w:t>
      </w:r>
    </w:p>
    <w:p w14:paraId="353A9284">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 xml:space="preserve">Consent for </w:t>
      </w:r>
      <w:r>
        <w:rPr>
          <w:rFonts w:hint="default" w:ascii="Segoe UI Historic" w:hAnsi="Segoe UI Historic" w:cs="Segoe UI Historic"/>
          <w:b/>
          <w:bCs/>
          <w:sz w:val="24"/>
          <w:szCs w:val="24"/>
          <w:lang w:val="en-US"/>
        </w:rPr>
        <w:t>P</w:t>
      </w:r>
      <w:r>
        <w:rPr>
          <w:rFonts w:hint="default" w:ascii="Segoe UI Historic" w:hAnsi="Segoe UI Historic" w:cs="Segoe UI Historic"/>
          <w:b/>
          <w:bCs/>
          <w:sz w:val="24"/>
          <w:szCs w:val="24"/>
        </w:rPr>
        <w:t xml:space="preserve">ublication. </w:t>
      </w:r>
      <w:r>
        <w:rPr>
          <w:rFonts w:hint="default" w:ascii="Segoe UI Historic" w:hAnsi="Segoe UI Historic" w:cs="Segoe UI Historic"/>
          <w:sz w:val="24"/>
          <w:szCs w:val="24"/>
        </w:rPr>
        <w:t>Not applicable; no individually identifiable patient information is presented.</w:t>
      </w:r>
    </w:p>
    <w:p w14:paraId="73FBBD13">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 xml:space="preserve">Availability of </w:t>
      </w:r>
      <w:r>
        <w:rPr>
          <w:rFonts w:hint="default" w:ascii="Segoe UI Historic" w:hAnsi="Segoe UI Historic" w:cs="Segoe UI Historic"/>
          <w:b/>
          <w:bCs/>
          <w:sz w:val="24"/>
          <w:szCs w:val="24"/>
          <w:lang w:val="en-US"/>
        </w:rPr>
        <w:t>D</w:t>
      </w:r>
      <w:r>
        <w:rPr>
          <w:rFonts w:hint="default" w:ascii="Segoe UI Historic" w:hAnsi="Segoe UI Historic" w:cs="Segoe UI Historic"/>
          <w:b/>
          <w:bCs/>
          <w:sz w:val="24"/>
          <w:szCs w:val="24"/>
        </w:rPr>
        <w:t xml:space="preserve">ata and </w:t>
      </w:r>
      <w:r>
        <w:rPr>
          <w:rFonts w:hint="default" w:ascii="Segoe UI Historic" w:hAnsi="Segoe UI Historic" w:cs="Segoe UI Historic"/>
          <w:b/>
          <w:bCs/>
          <w:sz w:val="24"/>
          <w:szCs w:val="24"/>
          <w:lang w:val="en-US"/>
        </w:rPr>
        <w:t>M</w:t>
      </w:r>
      <w:r>
        <w:rPr>
          <w:rFonts w:hint="default" w:ascii="Segoe UI Historic" w:hAnsi="Segoe UI Historic" w:cs="Segoe UI Historic"/>
          <w:b/>
          <w:bCs/>
          <w:sz w:val="24"/>
          <w:szCs w:val="24"/>
        </w:rPr>
        <w:t xml:space="preserve">aterials. </w:t>
      </w:r>
      <w:r>
        <w:rPr>
          <w:rFonts w:hint="default" w:ascii="Segoe UI Historic" w:hAnsi="Segoe UI Historic" w:cs="Segoe UI Historic"/>
          <w:sz w:val="24"/>
          <w:szCs w:val="24"/>
        </w:rPr>
        <w:t>The anonymised dataset analysed during the current study is available from the corresponding author on reasonable request.</w:t>
      </w:r>
    </w:p>
    <w:p w14:paraId="26D5C20B">
      <w:pPr>
        <w:keepLines w:val="0"/>
        <w:pageBreakBefore w:val="0"/>
        <w:widowControl/>
        <w:kinsoku/>
        <w:wordWrap/>
        <w:overflowPunct/>
        <w:topLinePunct w:val="0"/>
        <w:autoSpaceDE/>
        <w:autoSpaceDN/>
        <w:bidi w:val="0"/>
        <w:adjustRightInd/>
        <w:snapToGrid/>
        <w:spacing w:beforeAutospacing="0" w:afterAutospacing="0" w:line="240" w:lineRule="auto"/>
        <w:ind w:left="0"/>
        <w:jc w:val="both"/>
        <w:textAlignment w:val="auto"/>
        <w:rPr>
          <w:rFonts w:hint="default" w:ascii="Segoe UI Historic" w:hAnsi="Segoe UI Historic" w:cs="Segoe UI Historic"/>
          <w:sz w:val="24"/>
          <w:szCs w:val="24"/>
        </w:rPr>
      </w:pPr>
      <w:r>
        <w:rPr>
          <w:rFonts w:hint="default" w:ascii="Segoe UI Historic" w:hAnsi="Segoe UI Historic" w:cs="Segoe UI Historic"/>
          <w:b/>
          <w:bCs/>
          <w:sz w:val="24"/>
          <w:szCs w:val="24"/>
        </w:rPr>
        <w:t xml:space="preserve">Funding. </w:t>
      </w:r>
      <w:r>
        <w:rPr>
          <w:rFonts w:hint="default" w:ascii="Segoe UI Historic" w:hAnsi="Segoe UI Historic" w:cs="Segoe UI Historic"/>
          <w:sz w:val="24"/>
          <w:szCs w:val="24"/>
        </w:rPr>
        <w:t>This research received no specific grant from any funding agency in the public, commercial or not-for-profit sectors.</w:t>
      </w:r>
    </w:p>
    <w:p w14:paraId="75C7B06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Segoe UI Historic" w:hAnsi="Segoe UI Historic" w:cs="Segoe UI Historic"/>
          <w:b w:val="0"/>
          <w:bCs w:val="0"/>
          <w:sz w:val="24"/>
          <w:szCs w:val="24"/>
        </w:rPr>
      </w:pPr>
      <w:r>
        <w:rPr>
          <w:rFonts w:hint="default" w:ascii="Segoe UI Historic" w:hAnsi="Segoe UI Historic" w:cs="Segoe UI Historic"/>
          <w:b/>
          <w:bCs/>
          <w:sz w:val="24"/>
          <w:szCs w:val="24"/>
        </w:rPr>
        <w:t xml:space="preserve">Acknowledgements. </w:t>
      </w:r>
      <w:r>
        <w:rPr>
          <w:rFonts w:hint="default" w:ascii="Segoe UI Historic" w:hAnsi="Segoe UI Historic" w:cs="Segoe UI Historic"/>
          <w:sz w:val="24"/>
          <w:szCs w:val="24"/>
        </w:rPr>
        <w:t>The authors thank the staff and administration of Lady Reading Hospital, Peshawar, and the Department of Pharmacy, Sarhad University of Science and Information Technology, for their support.</w:t>
      </w:r>
    </w:p>
    <w:p w14:paraId="7FF80AD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Segoe UI Historic" w:hAnsi="Segoe UI Historic" w:cs="Segoe UI Historic"/>
          <w:b/>
          <w:bCs/>
          <w:sz w:val="24"/>
          <w:szCs w:val="24"/>
        </w:rPr>
      </w:pPr>
      <w:r>
        <w:rPr>
          <w:rFonts w:hint="default" w:ascii="Segoe UI Historic" w:hAnsi="Segoe UI Historic" w:cs="Segoe UI Historic"/>
          <w:b/>
          <w:bCs/>
          <w:sz w:val="24"/>
          <w:szCs w:val="24"/>
        </w:rPr>
        <w:t>REFERENCES</w:t>
      </w:r>
    </w:p>
    <w:p w14:paraId="5451B7F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1.NCD Risk Factor Collaboration (NCD-RisC). Worldwide trends in hypertension prevalence and progress in treatment and control from 1990 to 2019: a pooled analysis of 1201 population-representative studies with 104 million participants. Lancet. 2021;398(10304):957–980. doi:10.1016/S0140-6736(21)01330-1</w:t>
      </w:r>
    </w:p>
    <w:p w14:paraId="50ED035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 xml:space="preserve">2.World Health Organization. Hypertension [fact sheet]. Geneva: WHO; 2023. Available from: </w:t>
      </w:r>
      <w:r>
        <w:rPr>
          <w:rFonts w:hint="default" w:ascii="Segoe UI Historic" w:hAnsi="Segoe UI Historic" w:cs="Segoe UI Historic"/>
          <w:b w:val="0"/>
          <w:bCs w:val="0"/>
          <w:sz w:val="24"/>
          <w:szCs w:val="24"/>
          <w:lang w:eastAsia="en-GB"/>
        </w:rPr>
        <w:fldChar w:fldCharType="begin"/>
      </w:r>
      <w:r>
        <w:rPr>
          <w:rFonts w:hint="default" w:ascii="Segoe UI Historic" w:hAnsi="Segoe UI Historic" w:cs="Segoe UI Historic"/>
          <w:b w:val="0"/>
          <w:bCs w:val="0"/>
          <w:sz w:val="24"/>
          <w:szCs w:val="24"/>
          <w:lang w:eastAsia="en-GB"/>
        </w:rPr>
        <w:instrText xml:space="preserve"> HYPERLINK "https://www.who.int/news-room/fact-sheets/detail/hypertension" </w:instrText>
      </w:r>
      <w:r>
        <w:rPr>
          <w:rFonts w:hint="default" w:ascii="Segoe UI Historic" w:hAnsi="Segoe UI Historic" w:cs="Segoe UI Historic"/>
          <w:b w:val="0"/>
          <w:bCs w:val="0"/>
          <w:sz w:val="24"/>
          <w:szCs w:val="24"/>
          <w:lang w:eastAsia="en-GB"/>
        </w:rPr>
        <w:fldChar w:fldCharType="separate"/>
      </w:r>
      <w:r>
        <w:rPr>
          <w:rStyle w:val="15"/>
          <w:rFonts w:hint="default" w:ascii="Segoe UI Historic" w:hAnsi="Segoe UI Historic" w:cs="Segoe UI Historic"/>
          <w:b w:val="0"/>
          <w:bCs w:val="0"/>
          <w:sz w:val="24"/>
          <w:szCs w:val="24"/>
          <w:lang w:eastAsia="en-GB"/>
        </w:rPr>
        <w:t>https://www.who.int/news-room/fact-sheets/detail/hypertension</w:t>
      </w:r>
      <w:r>
        <w:rPr>
          <w:rFonts w:hint="default" w:ascii="Segoe UI Historic" w:hAnsi="Segoe UI Historic" w:cs="Segoe UI Historic"/>
          <w:b w:val="0"/>
          <w:bCs w:val="0"/>
          <w:sz w:val="24"/>
          <w:szCs w:val="24"/>
          <w:lang w:eastAsia="en-GB"/>
        </w:rPr>
        <w:fldChar w:fldCharType="end"/>
      </w:r>
      <w:r>
        <w:rPr>
          <w:rFonts w:hint="default" w:ascii="Segoe UI Historic" w:hAnsi="Segoe UI Historic" w:cs="Segoe UI Historic"/>
          <w:b w:val="0"/>
          <w:bCs w:val="0"/>
          <w:sz w:val="24"/>
          <w:szCs w:val="24"/>
          <w:lang w:val="en-US" w:eastAsia="en-GB"/>
        </w:rPr>
        <w:t xml:space="preserve"> </w:t>
      </w:r>
    </w:p>
    <w:p w14:paraId="432755B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 xml:space="preserve">3.World Health Organization. Cardiovascular diseases (CVDs) [fact sheet]. Geneva: WHO; 2021. Available from: </w:t>
      </w:r>
      <w:r>
        <w:rPr>
          <w:rFonts w:hint="default" w:ascii="Segoe UI Historic" w:hAnsi="Segoe UI Historic" w:cs="Segoe UI Historic"/>
          <w:b w:val="0"/>
          <w:bCs w:val="0"/>
          <w:sz w:val="24"/>
          <w:szCs w:val="24"/>
          <w:lang w:eastAsia="en-GB"/>
        </w:rPr>
        <w:fldChar w:fldCharType="begin"/>
      </w:r>
      <w:r>
        <w:rPr>
          <w:rFonts w:hint="default" w:ascii="Segoe UI Historic" w:hAnsi="Segoe UI Historic" w:cs="Segoe UI Historic"/>
          <w:b w:val="0"/>
          <w:bCs w:val="0"/>
          <w:sz w:val="24"/>
          <w:szCs w:val="24"/>
          <w:lang w:eastAsia="en-GB"/>
        </w:rPr>
        <w:instrText xml:space="preserve"> HYPERLINK "https://www.who.int/news-room/fact-sheets/detail/cardiovascular-diseases-(cvds)" </w:instrText>
      </w:r>
      <w:r>
        <w:rPr>
          <w:rFonts w:hint="default" w:ascii="Segoe UI Historic" w:hAnsi="Segoe UI Historic" w:cs="Segoe UI Historic"/>
          <w:b w:val="0"/>
          <w:bCs w:val="0"/>
          <w:sz w:val="24"/>
          <w:szCs w:val="24"/>
          <w:lang w:eastAsia="en-GB"/>
        </w:rPr>
        <w:fldChar w:fldCharType="separate"/>
      </w:r>
      <w:r>
        <w:rPr>
          <w:rStyle w:val="15"/>
          <w:rFonts w:hint="default" w:ascii="Segoe UI Historic" w:hAnsi="Segoe UI Historic" w:cs="Segoe UI Historic"/>
          <w:b w:val="0"/>
          <w:bCs w:val="0"/>
          <w:sz w:val="24"/>
          <w:szCs w:val="24"/>
          <w:lang w:eastAsia="en-GB"/>
        </w:rPr>
        <w:t>https://www.who.int/news-room/fact-sheets/detail/cardiovascular-diseases-(cvds)</w:t>
      </w:r>
      <w:r>
        <w:rPr>
          <w:rFonts w:hint="default" w:ascii="Segoe UI Historic" w:hAnsi="Segoe UI Historic" w:cs="Segoe UI Historic"/>
          <w:b w:val="0"/>
          <w:bCs w:val="0"/>
          <w:sz w:val="24"/>
          <w:szCs w:val="24"/>
          <w:lang w:eastAsia="en-GB"/>
        </w:rPr>
        <w:fldChar w:fldCharType="end"/>
      </w:r>
      <w:r>
        <w:rPr>
          <w:rFonts w:hint="default" w:ascii="Segoe UI Historic" w:hAnsi="Segoe UI Historic" w:cs="Segoe UI Historic"/>
          <w:b w:val="0"/>
          <w:bCs w:val="0"/>
          <w:sz w:val="24"/>
          <w:szCs w:val="24"/>
          <w:lang w:val="en-US" w:eastAsia="en-GB"/>
        </w:rPr>
        <w:t xml:space="preserve"> </w:t>
      </w:r>
    </w:p>
    <w:p w14:paraId="0AF30DFC">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eastAsia="en-GB"/>
        </w:rPr>
      </w:pPr>
      <w:r>
        <w:rPr>
          <w:rFonts w:hint="default" w:ascii="Segoe UI Historic" w:hAnsi="Segoe UI Historic" w:cs="Segoe UI Historic"/>
          <w:b w:val="0"/>
          <w:bCs w:val="0"/>
          <w:sz w:val="24"/>
          <w:szCs w:val="24"/>
          <w:lang w:eastAsia="en-GB"/>
        </w:rPr>
        <w:t>4.Whelton PK, Carey RM, Aronow WS, et al. 2017 ACC/AHA/AAPA/ABC/ACPM/AGS/APhA/ASH/ASPC/NMA/PCNA guideline for the prevention, detection, evaluation, and management of high blood pressure in adults. J Am Coll Cardiol. 2018;71(19):e127–e248. doi:10.1016/j.jacc.2017.11.006</w:t>
      </w:r>
    </w:p>
    <w:p w14:paraId="50DFD76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5.Williams B, Mancia G, Spiering W, et al. 2018 ESC/ESH guidelines for the management of arterial hypertension. Eur Heart J. 2018;39(33):3021–3104. doi:10.1093/eurheartj/ehy339</w:t>
      </w:r>
    </w:p>
    <w:p w14:paraId="17214BC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6.Unger T, Borghi C, Charchar F, et al. 2020 International Society of Hypertension global hypertension practice guidelines. Hypertension. 2020;75(6):1334–1357. doi:10.1161/HYPERTENSIONAHA.120.15026</w:t>
      </w:r>
    </w:p>
    <w:p w14:paraId="18AAF8A9">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7.James PA, Oparil S, Carter BL, et al. 2014 evidence-based guideline for the management of high blood pressure in adults: report from the panel members appointed to the Eighth Joint National Committee (JNC 8). JAMA. 2014;311(5):507–520. doi:10.1001/jama.2013.284427</w:t>
      </w:r>
    </w:p>
    <w:p w14:paraId="5F2711F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8.Rafique I, Saqib MAN, Munir MA, et al. Prevalence of risk factors for noncommunicable diseases in adults: key findings from the Pakistan STEPS survey. East Mediterr Health J. 2018;24(1):33–41. doi:10.26719/2018.24.1.33</w:t>
      </w:r>
    </w:p>
    <w:p w14:paraId="401C89A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9.Basit A, Tanveer S, Fawwad A, Naeem N; NDSP Members. Prevalence and contributing risk factors for hypertension in urban and rural areas of Pakistan; a study from the second National Diabetes Survey of Pakistan (NDSP) 2016–2017. Clin Exp Hypertens. 2020;42(3):218–224. doi:10.1080/10641963.2019.1619753</w:t>
      </w:r>
    </w:p>
    <w:p w14:paraId="66FFE6A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10.Riaz M, Shah G, Asif M, Shah A, Adhikari K, Abu-Shaheen A. Factors associated with hypertension in Pakistan: a systematic review and meta-analysis. PLoS One. 2021;16(1):e0246085. doi:10.1371/journal.pone.024608</w:t>
      </w:r>
    </w:p>
    <w:p w14:paraId="63D004D1">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11.Elahi A, Ali AA, Khan AH, Samad Z, Shahab H, Aziz N, Almas A. Challenges of managing hypertension in Pakistan – a review. Clin Hypertens. 2023;29(1):17. doi:10.1186/s40885-023-00245-6</w:t>
      </w:r>
    </w:p>
    <w:p w14:paraId="1A26CA25">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eastAsia="en-GB"/>
        </w:rPr>
      </w:pPr>
      <w:r>
        <w:rPr>
          <w:rFonts w:hint="default" w:ascii="Segoe UI Historic" w:hAnsi="Segoe UI Historic" w:cs="Segoe UI Historic"/>
          <w:b w:val="0"/>
          <w:bCs w:val="0"/>
          <w:sz w:val="24"/>
          <w:szCs w:val="24"/>
          <w:lang w:eastAsia="en-GB"/>
        </w:rPr>
        <w:t>12.Arshad V, Samad Z, Das J, Almas A, Rashid N, Virani SS, et al. Prescribing patterns of antihypertensive medications in low- and middle-income countries: a systematic review. Asia Pac J Public Health. 2021;33(1):14–22. doi:10.1177/1010539520963643</w:t>
      </w:r>
    </w:p>
    <w:p w14:paraId="2DD44DE6">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eastAsia="en-GB"/>
        </w:rPr>
      </w:pPr>
      <w:r>
        <w:rPr>
          <w:rFonts w:hint="default" w:ascii="Segoe UI Historic" w:hAnsi="Segoe UI Historic" w:cs="Segoe UI Historic"/>
          <w:b w:val="0"/>
          <w:bCs w:val="0"/>
          <w:sz w:val="24"/>
          <w:szCs w:val="24"/>
          <w:lang w:eastAsia="en-GB"/>
        </w:rPr>
        <w:t>13.Al-Makki A, DiPette D, Whelton PK, et al. Hypertension pharmacological treatment in adults: a World Health Organization guideline executive summary. Hypertension. 2022;79(1):293–301. doi:10.1161/HYPERTENSIONAHA.121.18192</w:t>
      </w:r>
    </w:p>
    <w:p w14:paraId="2D6E7F56">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14.Ismail M, Noor S, Harram U, Haq I, Haider I, Khadim F, et al. Potential drug-drug interactions in outpatient department of a tertiary care hospital in Pakistan: a cross-sectional study. BMC Health Serv Res. 2018;18(1):762. doi:10.1186/s12913-018-3579-7</w:t>
      </w:r>
    </w:p>
    <w:p w14:paraId="048044F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15.Ismail M, Iqbal Z, Khattak MB, Khan MI, Arsalan H, Javaid A, et al. Potential drug–drug interactions in internal medicine wards in hospital setting in Pakistan. Int J Clin Pharm. 2013;35(3):455–462. doi:10.1007/s11096-013-9764-1</w:t>
      </w:r>
    </w:p>
    <w:p w14:paraId="60D5EDF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eastAsia="en-GB"/>
        </w:rPr>
      </w:pPr>
      <w:r>
        <w:rPr>
          <w:rFonts w:hint="default" w:ascii="Segoe UI Historic" w:hAnsi="Segoe UI Historic" w:cs="Segoe UI Historic"/>
          <w:b w:val="0"/>
          <w:bCs w:val="0"/>
          <w:sz w:val="24"/>
          <w:szCs w:val="24"/>
          <w:lang w:eastAsia="en-GB"/>
        </w:rPr>
        <w:t>16.Subramanian A, Adhimoolam M, Kannan S. Study of drug–drug interactions among the hypertensive patients in a tertiary care teaching hospital. Perspect Clin Res. 2018;9(1):9–14. doi:10.4103/picr.PICR_145_16</w:t>
      </w:r>
    </w:p>
    <w:p w14:paraId="31C9656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eastAsia="en-GB"/>
        </w:rPr>
      </w:pPr>
      <w:r>
        <w:rPr>
          <w:rFonts w:hint="default" w:ascii="Segoe UI Historic" w:hAnsi="Segoe UI Historic" w:cs="Segoe UI Historic"/>
          <w:b w:val="0"/>
          <w:bCs w:val="0"/>
          <w:sz w:val="24"/>
          <w:szCs w:val="24"/>
          <w:lang w:eastAsia="en-GB"/>
        </w:rPr>
        <w:t>17.Zafar R, Rehman IU, Shah Y, Ming LC, Goh HP, Goh KW, Farrukh MJ. Comparative analysis of potential drug–drug interactions in a public and private hospital among chronic kidney disease patients in Khyber Pakhtunkhwa: a retrospective cross-sectional study. PLoS One. 2023;18(9):e0291417. doi:10.1371/journal.pone.0291417</w:t>
      </w:r>
    </w:p>
    <w:p w14:paraId="5D588C9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eastAsia="en-GB"/>
        </w:rPr>
        <w:t>18.Abraham NS, Hlatky MA, Antman EM, et al. ACCF/ACG/AHA 2010 expert consensus document on the concomitant use of proton pump inhibitors and thienopyridines. Circulation. 2010;122(24):2619–2633. doi:10.1161/CIR.0b013e318202f701</w:t>
      </w:r>
    </w:p>
    <w:p w14:paraId="4B1A7315">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eastAsia="en-GB"/>
        </w:rPr>
      </w:pPr>
      <w:r>
        <w:rPr>
          <w:rFonts w:hint="default" w:ascii="Segoe UI Historic" w:hAnsi="Segoe UI Historic" w:cs="Segoe UI Historic"/>
          <w:b w:val="0"/>
          <w:bCs w:val="0"/>
          <w:sz w:val="24"/>
          <w:szCs w:val="24"/>
          <w:lang w:eastAsia="en-GB"/>
        </w:rPr>
        <w:t>19.Bhatt DL, Cryer BL, Contant CF, et al. Clopidogrel with or without omeprazole in coronary artery disease. N Engl J Med. 2010;363(20):1909–1917. doi:10.1056/NEJMoa1007964</w:t>
      </w:r>
    </w:p>
    <w:p w14:paraId="7CE54755">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480" w:leftChars="0" w:right="0" w:hanging="480" w:hangingChars="200"/>
        <w:jc w:val="both"/>
        <w:textAlignment w:val="auto"/>
        <w:rPr>
          <w:rFonts w:hint="default" w:ascii="Segoe UI Historic" w:hAnsi="Segoe UI Historic" w:cs="Segoe UI Historic"/>
          <w:b w:val="0"/>
          <w:bCs w:val="0"/>
          <w:sz w:val="24"/>
          <w:szCs w:val="24"/>
          <w:lang w:val="en-US" w:eastAsia="en-GB"/>
        </w:rPr>
      </w:pPr>
      <w:r>
        <w:rPr>
          <w:rFonts w:hint="default" w:ascii="Segoe UI Historic" w:hAnsi="Segoe UI Historic" w:cs="Segoe UI Historic"/>
          <w:b w:val="0"/>
          <w:bCs w:val="0"/>
          <w:sz w:val="24"/>
          <w:szCs w:val="24"/>
          <w:lang w:val="en-US" w:eastAsia="en-GB"/>
        </w:rPr>
        <w:t>20.</w:t>
      </w:r>
      <w:r>
        <w:rPr>
          <w:rFonts w:hint="default" w:ascii="Segoe UI Historic" w:hAnsi="Segoe UI Historic" w:cs="Segoe UI Historic"/>
          <w:b w:val="0"/>
          <w:bCs w:val="0"/>
          <w:sz w:val="24"/>
          <w:szCs w:val="24"/>
          <w:lang w:eastAsia="en-GB"/>
        </w:rPr>
        <w:t>Amer M, Rahman N, Nazir SR, Raza A, Riaz H, Sultana M, et al. Impact of pharmacist’s intervention on disease-related knowledge, medication adherence, HRQoL and control of blood pressure among hypertensive patients. Pak J Pharm Sci. 2018;31(6 Suppl):2607–2616.</w:t>
      </w:r>
    </w:p>
    <w:sectPr>
      <w:headerReference r:id="rId3" w:type="default"/>
      <w:footerReference r:id="rId4" w:type="default"/>
      <w:pgSz w:w="12240" w:h="15840"/>
      <w:pgMar w:top="1440" w:right="1440" w:bottom="1440" w:left="1440" w:header="720" w:footer="720" w:gutter="0"/>
      <w:pgNumType w:fmt="decimal" w:start="559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ion Pro">
    <w:altName w:val="Segoe Print"/>
    <w:panose1 w:val="00000000000000000000"/>
    <w:charset w:val="00"/>
    <w:family w:val="roman"/>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Segoe UI Historic">
    <w:panose1 w:val="020B0502040204020203"/>
    <w:charset w:val="00"/>
    <w:family w:val="swiss"/>
    <w:pitch w:val="default"/>
    <w:sig w:usb0="800001EF" w:usb1="02000002" w:usb2="0060C080" w:usb3="00000002" w:csb0="00000001" w:csb1="40000000"/>
  </w:font>
  <w:font w:name="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CA6DE">
    <w:pPr>
      <w:pStyle w:val="12"/>
      <w:rPr>
        <w:rFonts w:hint="default"/>
        <w:sz w:val="21"/>
        <w:szCs w:val="21"/>
        <w:lang w:val="en-US"/>
      </w:rPr>
    </w:pPr>
    <w:r>
      <w:rPr>
        <w:rFonts w:ascii="Segoe UI Historic" w:hAnsi="Segoe UI Historic" w:cs="Segoe UI Historic"/>
        <w:sz w:val="24"/>
        <w:szCs w:val="24"/>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2B52F">
                          <w:pPr>
                            <w:pStyle w:val="12"/>
                            <w:rPr>
                              <w:rFonts w:hint="default"/>
                              <w:b/>
                              <w:bCs/>
                              <w:sz w:val="22"/>
                              <w:szCs w:val="22"/>
                              <w:lang w:val="en-US"/>
                            </w:rPr>
                          </w:pPr>
                          <w:r>
                            <w:rPr>
                              <w:b/>
                              <w:bCs/>
                              <w:sz w:val="22"/>
                              <w:szCs w:val="22"/>
                            </w:rPr>
                            <w:t xml:space="preserve">Page </w:t>
                          </w:r>
                          <w:r>
                            <w:rPr>
                              <w:b/>
                              <w:bCs/>
                              <w:sz w:val="22"/>
                              <w:szCs w:val="22"/>
                            </w:rPr>
                            <w:fldChar w:fldCharType="begin"/>
                          </w:r>
                          <w:r>
                            <w:rPr>
                              <w:b/>
                              <w:bCs/>
                              <w:sz w:val="22"/>
                              <w:szCs w:val="22"/>
                            </w:rPr>
                            <w:instrText xml:space="preserve"> PAGE  \* MERGEFORMAT </w:instrText>
                          </w:r>
                          <w:r>
                            <w:rPr>
                              <w:b/>
                              <w:bCs/>
                              <w:sz w:val="22"/>
                              <w:szCs w:val="22"/>
                            </w:rPr>
                            <w:fldChar w:fldCharType="separate"/>
                          </w:r>
                          <w:r>
                            <w:rPr>
                              <w:b/>
                              <w:bCs/>
                              <w:sz w:val="22"/>
                              <w:szCs w:val="22"/>
                            </w:rPr>
                            <w:t>5</w:t>
                          </w:r>
                          <w:r>
                            <w:rPr>
                              <w:b/>
                              <w:bCs/>
                              <w:sz w:val="22"/>
                              <w:szCs w:val="22"/>
                            </w:rPr>
                            <w:fldChar w:fldCharType="end"/>
                          </w:r>
                          <w:r>
                            <w:rPr>
                              <w:b/>
                              <w:bCs/>
                              <w:sz w:val="22"/>
                              <w:szCs w:val="22"/>
                            </w:rPr>
                            <w:t xml:space="preserve"> of </w:t>
                          </w:r>
                          <w:r>
                            <w:rPr>
                              <w:rFonts w:hint="default"/>
                              <w:b/>
                              <w:bCs/>
                              <w:sz w:val="22"/>
                              <w:szCs w:val="22"/>
                              <w:lang w:val="en-US"/>
                            </w:rPr>
                            <w:t>5605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AEE0b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JoAEE0bAgAAVgQAAA4A&#10;AAAAAAAAAQAgAAAAHwEAAGRycy9lMm9Eb2MueG1sUEsFBgAAAAAGAAYAWQEAAKwFAAAAAA==&#10;">
              <v:fill on="f" focussize="0,0"/>
              <v:stroke on="f" weight="0.5pt"/>
              <v:imagedata o:title=""/>
              <o:lock v:ext="edit" aspectratio="f"/>
              <v:textbox inset="0mm,0mm,0mm,0mm" style="mso-fit-shape-to-text:t;">
                <w:txbxContent>
                  <w:p w14:paraId="00F2B52F">
                    <w:pPr>
                      <w:pStyle w:val="12"/>
                      <w:rPr>
                        <w:rFonts w:hint="default"/>
                        <w:b/>
                        <w:bCs/>
                        <w:sz w:val="22"/>
                        <w:szCs w:val="22"/>
                        <w:lang w:val="en-US"/>
                      </w:rPr>
                    </w:pPr>
                    <w:r>
                      <w:rPr>
                        <w:b/>
                        <w:bCs/>
                        <w:sz w:val="22"/>
                        <w:szCs w:val="22"/>
                      </w:rPr>
                      <w:t xml:space="preserve">Page </w:t>
                    </w:r>
                    <w:r>
                      <w:rPr>
                        <w:b/>
                        <w:bCs/>
                        <w:sz w:val="22"/>
                        <w:szCs w:val="22"/>
                      </w:rPr>
                      <w:fldChar w:fldCharType="begin"/>
                    </w:r>
                    <w:r>
                      <w:rPr>
                        <w:b/>
                        <w:bCs/>
                        <w:sz w:val="22"/>
                        <w:szCs w:val="22"/>
                      </w:rPr>
                      <w:instrText xml:space="preserve"> PAGE  \* MERGEFORMAT </w:instrText>
                    </w:r>
                    <w:r>
                      <w:rPr>
                        <w:b/>
                        <w:bCs/>
                        <w:sz w:val="22"/>
                        <w:szCs w:val="22"/>
                      </w:rPr>
                      <w:fldChar w:fldCharType="separate"/>
                    </w:r>
                    <w:r>
                      <w:rPr>
                        <w:b/>
                        <w:bCs/>
                        <w:sz w:val="22"/>
                        <w:szCs w:val="22"/>
                      </w:rPr>
                      <w:t>5</w:t>
                    </w:r>
                    <w:r>
                      <w:rPr>
                        <w:b/>
                        <w:bCs/>
                        <w:sz w:val="22"/>
                        <w:szCs w:val="22"/>
                      </w:rPr>
                      <w:fldChar w:fldCharType="end"/>
                    </w:r>
                    <w:r>
                      <w:rPr>
                        <w:b/>
                        <w:bCs/>
                        <w:sz w:val="22"/>
                        <w:szCs w:val="22"/>
                      </w:rPr>
                      <w:t xml:space="preserve"> of </w:t>
                    </w:r>
                    <w:r>
                      <w:rPr>
                        <w:rFonts w:hint="default"/>
                        <w:b/>
                        <w:bCs/>
                        <w:sz w:val="22"/>
                        <w:szCs w:val="22"/>
                        <w:lang w:val="en-US"/>
                      </w:rPr>
                      <w:t>5605</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64762">
    <w:pPr>
      <w:pStyle w:val="13"/>
      <w:jc w:val="center"/>
      <w:rPr>
        <w:rFonts w:ascii="Segoe UI Historic" w:hAnsi="Segoe UI Historic" w:eastAsia="Segoe UI" w:cs="Segoe UI Historic"/>
        <w:b/>
        <w:bCs/>
        <w:color w:val="C55A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color w:val="C55A11" w:themeColor="accent2" w:themeShade="BF"/>
        <w:sz w:val="36"/>
        <w:szCs w:val="20"/>
        <w:lang w:eastAsia="en-US"/>
        <w14:reflection w14:blurRad="6350" w14:stA="53000" w14:stPos="0" w14:endA="300" w14:endPos="35500" w14:dist="0" w14:dir="5400000" w14:fadeDir="5400000" w14:sx="100000" w14:sy="-90000" w14:kx="0" w14:ky="0" w14:algn="bl"/>
        <w14:props3d w14:extrusionH="0" w14:contourW="0" w14:prstMaterial="clear"/>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-414020</wp:posOffset>
              </wp:positionV>
              <wp:extent cx="1651000" cy="380365"/>
              <wp:effectExtent l="0" t="0" r="6350" b="635"/>
              <wp:wrapNone/>
              <wp:docPr id="6" name="Rectangles 6"/>
              <wp:cNvGraphicFramePr/>
              <a:graphic xmlns:a="http://schemas.openxmlformats.org/drawingml/2006/main">
                <a:graphicData uri="http://schemas.microsoft.com/office/word/2010/wordprocessingShape">
                  <wps:wsp>
                    <wps:cNvSpPr/>
                    <wps:spPr>
                      <a:xfrm>
                        <a:off x="73660" y="66040"/>
                        <a:ext cx="1651000" cy="380365"/>
                      </a:xfrm>
                      <a:prstGeom prst="rect">
                        <a:avLst/>
                      </a:prstGeom>
                      <a:solidFill>
                        <a:schemeClr val="tx1">
                          <a:lumMod val="95000"/>
                          <a:lumOff val="5000"/>
                        </a:schemeClr>
                      </a:solidFill>
                      <a:ln w="12700" cap="flat" cmpd="sng" algn="ctr">
                        <a:noFill/>
                        <a:prstDash val="solid"/>
                        <a:miter lim="800000"/>
                      </a:ln>
                      <a:effectLst>
                        <a:softEdge rad="31750"/>
                      </a:effectLst>
                    </wps:spPr>
                    <wps:style>
                      <a:lnRef idx="2">
                        <a:schemeClr val="accent1">
                          <a:lumMod val="75000"/>
                        </a:schemeClr>
                      </a:lnRef>
                      <a:fillRef idx="1">
                        <a:schemeClr val="accent1"/>
                      </a:fillRef>
                      <a:effectRef idx="0">
                        <a:srgbClr val="FFFFFF"/>
                      </a:effectRef>
                      <a:fontRef idx="minor">
                        <a:schemeClr val="lt1"/>
                      </a:fontRef>
                    </wps:style>
                    <wps:txbx>
                      <w:txbxContent>
                        <w:p w14:paraId="5271B678">
                          <w:pPr>
                            <w:rPr>
                              <w:sz w:val="24"/>
                              <w:szCs w:val="24"/>
                              <w14:glow w14:rad="228600">
                                <w14:schemeClr w14:val="accent5">
                                  <w14:alpha w14:val="60000"/>
                                  <w14:satMod w14:val="175000"/>
                                </w14:schemeClr>
                              </w14:glow>
                            </w:rPr>
                          </w:pPr>
                          <w:r>
                            <w:rPr>
                              <w:rFonts w:ascii="Segoe UI" w:hAnsi="Segoe UI" w:eastAsia="Segoe UI" w:cs="Segoe UI"/>
                              <w:b/>
                              <w:bCs/>
                              <w:sz w:val="24"/>
                              <w:szCs w:val="24"/>
                              <w:shd w:val="clear" w:color="auto" w:fill="FFFFFF"/>
                              <w14:glow w14:rad="63500">
                                <w14:schemeClr w14:val="accent1">
                                  <w14:alpha w14:val="60000"/>
                                  <w14:satMod w14:val="175000"/>
                                </w14:schemeClr>
                              </w14:glow>
                            </w:rPr>
                            <w:t xml:space="preserve">Vol. 5 No. </w:t>
                          </w:r>
                          <w:r>
                            <w:rPr>
                              <w:rFonts w:hint="default" w:ascii="Segoe UI" w:hAnsi="Segoe UI" w:eastAsia="Segoe UI" w:cs="Segoe UI"/>
                              <w:b/>
                              <w:bCs/>
                              <w:sz w:val="24"/>
                              <w:szCs w:val="24"/>
                              <w:shd w:val="clear" w:color="auto" w:fill="FFFFFF"/>
                              <w:lang w:val="en-US"/>
                              <w14:glow w14:rad="63500">
                                <w14:schemeClr w14:val="accent1">
                                  <w14:alpha w14:val="60000"/>
                                  <w14:satMod w14:val="175000"/>
                                </w14:schemeClr>
                              </w14:glow>
                            </w:rPr>
                            <w:t>1</w:t>
                          </w:r>
                          <w:r>
                            <w:rPr>
                              <w:rFonts w:ascii="Segoe UI" w:hAnsi="Segoe UI" w:eastAsia="Segoe UI" w:cs="Segoe UI"/>
                              <w:b/>
                              <w:bCs/>
                              <w:sz w:val="24"/>
                              <w:szCs w:val="24"/>
                              <w:shd w:val="clear" w:color="auto" w:fill="FFFFFF"/>
                              <w14:glow w14:rad="63500">
                                <w14:schemeClr w14:val="accent1">
                                  <w14:alpha w14:val="60000"/>
                                  <w14:satMod w14:val="175000"/>
                                </w14:schemeClr>
                              </w14:glow>
                            </w:rPr>
                            <w:t xml:space="preserve"> (2026)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6" o:spid="_x0000_s1026" o:spt="1" style="position:absolute;left:0pt;margin-left:-72pt;margin-top:-32.6pt;height:29.95pt;width:130pt;z-index:251660288;v-text-anchor:middle;mso-width-relative:page;mso-height-relative:page;" fillcolor="#0D0D0D [3069]" filled="t" stroked="f" coordsize="21600,21600" o:gfxdata="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AgfJR9gAAAALAQAADwAAAAAAAAABACAAAAAiAAAAZHJzL2Rvd25yZXYueG1s&#10;UEsBAhQAFAAAAAgAh07iQBkuzmKjAgAATgUAAA4AAAAAAAAAAQAgAAAAJwEAAGRycy9lMm9Eb2Mu&#10;eG1sUEsFBgAAAAAGAAYAWQEAADwGAAAAAA==&#10;">
              <v:fill on="t" focussize="0,0"/>
              <v:stroke on="f" weight="1pt" miterlimit="8" joinstyle="miter"/>
              <v:imagedata o:title=""/>
              <o:lock v:ext="edit" aspectratio="f"/>
              <v:textbox>
                <w:txbxContent>
                  <w:p w14:paraId="5271B678">
                    <w:pPr>
                      <w:rPr>
                        <w:sz w:val="24"/>
                        <w:szCs w:val="24"/>
                        <w14:glow w14:rad="228600">
                          <w14:schemeClr w14:val="accent5">
                            <w14:alpha w14:val="60000"/>
                            <w14:satMod w14:val="175000"/>
                          </w14:schemeClr>
                        </w14:glow>
                      </w:rPr>
                    </w:pPr>
                    <w:r>
                      <w:rPr>
                        <w:rFonts w:ascii="Segoe UI" w:hAnsi="Segoe UI" w:eastAsia="Segoe UI" w:cs="Segoe UI"/>
                        <w:b/>
                        <w:bCs/>
                        <w:sz w:val="24"/>
                        <w:szCs w:val="24"/>
                        <w:shd w:val="clear" w:color="auto" w:fill="FFFFFF"/>
                        <w14:glow w14:rad="63500">
                          <w14:schemeClr w14:val="accent1">
                            <w14:alpha w14:val="60000"/>
                            <w14:satMod w14:val="175000"/>
                          </w14:schemeClr>
                        </w14:glow>
                      </w:rPr>
                      <w:t xml:space="preserve">Vol. 5 No. </w:t>
                    </w:r>
                    <w:r>
                      <w:rPr>
                        <w:rFonts w:hint="default" w:ascii="Segoe UI" w:hAnsi="Segoe UI" w:eastAsia="Segoe UI" w:cs="Segoe UI"/>
                        <w:b/>
                        <w:bCs/>
                        <w:sz w:val="24"/>
                        <w:szCs w:val="24"/>
                        <w:shd w:val="clear" w:color="auto" w:fill="FFFFFF"/>
                        <w:lang w:val="en-US"/>
                        <w14:glow w14:rad="63500">
                          <w14:schemeClr w14:val="accent1">
                            <w14:alpha w14:val="60000"/>
                            <w14:satMod w14:val="175000"/>
                          </w14:schemeClr>
                        </w14:glow>
                      </w:rPr>
                      <w:t>1</w:t>
                    </w:r>
                    <w:r>
                      <w:rPr>
                        <w:rFonts w:ascii="Segoe UI" w:hAnsi="Segoe UI" w:eastAsia="Segoe UI" w:cs="Segoe UI"/>
                        <w:b/>
                        <w:bCs/>
                        <w:sz w:val="24"/>
                        <w:szCs w:val="24"/>
                        <w:shd w:val="clear" w:color="auto" w:fill="FFFFFF"/>
                        <w14:glow w14:rad="63500">
                          <w14:schemeClr w14:val="accent1">
                            <w14:alpha w14:val="60000"/>
                            <w14:satMod w14:val="175000"/>
                          </w14:schemeClr>
                        </w14:glow>
                      </w:rPr>
                      <w:t xml:space="preserve"> (2026)</w:t>
                    </w:r>
                  </w:p>
                </w:txbxContent>
              </v:textbox>
            </v:rect>
          </w:pict>
        </mc:Fallback>
      </mc:AlternateContent>
    </w:r>
    <w:r>
      <w:rPr>
        <w:rFonts w:ascii="Segoe UI Historic" w:hAnsi="Segoe UI Historic" w:eastAsia="Segoe UI" w:cs="Segoe UI Historic"/>
        <w:b/>
        <w:bCs/>
        <w:color w:val="C55A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t>Pakistan Journal of Medical &amp; Cardiological Review</w:t>
    </w:r>
  </w:p>
  <w:p w14:paraId="676095B5">
    <w:pPr>
      <w:pStyle w:val="13"/>
      <w:rPr>
        <w:rFonts w:ascii="Segoe UI Historic" w:hAnsi="Segoe UI Historic" w:eastAsia="Segoe UI"/>
        <w:b/>
        <w:bCs/>
        <w:sz w:val="24"/>
        <w:szCs w:val="24"/>
        <w:shd w:val="clear" w:color="auto" w:fill="FFFFFF"/>
      </w:rPr>
    </w:pPr>
    <w:r>
      <w:fldChar w:fldCharType="begin"/>
    </w:r>
    <w:r>
      <w:instrText xml:space="preserve"> HYPERLINK "https://pakjmcr.com/index.php/1/about" </w:instrText>
    </w:r>
    <w:r>
      <w:fldChar w:fldCharType="separate"/>
    </w:r>
    <w:r>
      <w:rPr>
        <w:rFonts w:ascii="Segoe UI Historic" w:hAnsi="Segoe UI Historic" w:eastAsia="Segoe UI"/>
        <w:b/>
        <w:bCs/>
        <w:color w:val="0000FF"/>
        <w:sz w:val="24"/>
        <w:szCs w:val="24"/>
        <w:u w:val="single"/>
        <w:shd w:val="clear" w:color="auto" w:fill="FFFFFF"/>
      </w:rPr>
      <w:t>https://pakjmcr.com/index.php/1/about</w:t>
    </w:r>
    <w:r>
      <w:rPr>
        <w:rFonts w:ascii="Segoe UI Historic" w:hAnsi="Segoe UI Historic" w:eastAsia="Segoe UI"/>
        <w:b/>
        <w:bCs/>
        <w:color w:val="0000FF"/>
        <w:sz w:val="24"/>
        <w:szCs w:val="24"/>
        <w:u w:val="single"/>
        <w:shd w:val="clear" w:color="auto" w:fill="FFFFFF"/>
      </w:rPr>
      <w:fldChar w:fldCharType="end"/>
    </w:r>
  </w:p>
  <w:p w14:paraId="7B5F59BC">
    <w:pPr>
      <w:shd w:val="clear" w:color="auto" w:fill="FFFFFF"/>
      <w:jc w:val="center"/>
      <w:rPr>
        <w:rFonts w:ascii="Segoe UI" w:hAnsi="Segoe UI" w:eastAsia="Segoe UI" w:cs="Segoe UI"/>
        <w:b/>
        <w:bCs/>
        <w:sz w:val="16"/>
        <w:szCs w:val="16"/>
      </w:rPr>
    </w:pPr>
    <w:r>
      <w:rPr>
        <w:sz w:val="14"/>
        <w:lang w:eastAsia="en-US"/>
      </w:rPr>
      <mc:AlternateContent>
        <mc:Choice Requires="wps">
          <w:drawing>
            <wp:anchor distT="0" distB="0" distL="114300" distR="114300" simplePos="0" relativeHeight="251662336" behindDoc="0" locked="0" layoutInCell="1" allowOverlap="1">
              <wp:simplePos x="0" y="0"/>
              <wp:positionH relativeFrom="column">
                <wp:posOffset>-755650</wp:posOffset>
              </wp:positionH>
              <wp:positionV relativeFrom="paragraph">
                <wp:posOffset>232410</wp:posOffset>
              </wp:positionV>
              <wp:extent cx="1841500" cy="342900"/>
              <wp:effectExtent l="0" t="0" r="0" b="0"/>
              <wp:wrapNone/>
              <wp:docPr id="7" name="Rectangles 7"/>
              <wp:cNvGraphicFramePr/>
              <a:graphic xmlns:a="http://schemas.openxmlformats.org/drawingml/2006/main">
                <a:graphicData uri="http://schemas.microsoft.com/office/word/2010/wordprocessingShape">
                  <wps:wsp>
                    <wps:cNvSpPr/>
                    <wps:spPr>
                      <a:xfrm>
                        <a:off x="0" y="0"/>
                        <a:ext cx="1841500" cy="342900"/>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430E222E">
                          <w:pPr>
                            <w:jc w:val="center"/>
                            <w:rPr>
                              <w:b/>
                              <w:bCs/>
                              <w:color w:val="C55A11" w:themeColor="accent2" w:themeShade="BF"/>
                              <w:sz w:val="24"/>
                              <w:szCs w:val="24"/>
                              <w14:reflection w14:blurRad="6350" w14:stA="53000" w14:stPos="0" w14:endA="300" w14:endPos="35500" w14:dist="0" w14:dir="5400000" w14:fadeDir="5400000" w14:sx="100000" w14:sy="-90000" w14:kx="0" w14:ky="0" w14:algn="bl"/>
                              <w14:props3d w14:extrusionH="0" w14:contourW="0" w14:prstMaterial="clear"/>
                            </w:rPr>
                          </w:pPr>
                          <w:r>
                            <w:rPr>
                              <w:rFonts w:hint="default"/>
                              <w:b/>
                              <w:bCs/>
                              <w:color w:val="C55A11" w:themeColor="accent2" w:themeShade="BF"/>
                              <w:sz w:val="24"/>
                              <w:szCs w:val="24"/>
                              <w:lang w:val="en-US"/>
                              <w14:reflection w14:blurRad="6350" w14:stA="53000" w14:stPos="0" w14:endA="300" w14:endPos="35500" w14:dist="0" w14:dir="5400000" w14:fadeDir="5400000" w14:sx="100000" w14:sy="-90000" w14:kx="0" w14:ky="0" w14:algn="bl"/>
                              <w14:props3d w14:extrusionH="0" w14:contourW="0" w14:prstMaterial="clear"/>
                            </w:rPr>
                            <w:t>Waqas et al.,</w:t>
                          </w:r>
                          <w:r>
                            <w:rPr>
                              <w:b/>
                              <w:bCs/>
                              <w:color w:val="C55A11" w:themeColor="accent2" w:themeShade="BF"/>
                              <w:sz w:val="24"/>
                              <w:szCs w:val="24"/>
                              <w14:reflection w14:blurRad="6350" w14:stA="53000" w14:stPos="0" w14:endA="300" w14:endPos="35500" w14:dist="0" w14:dir="5400000" w14:fadeDir="5400000" w14:sx="100000" w14:sy="-90000" w14:kx="0" w14:ky="0" w14:algn="bl"/>
                              <w14:props3d w14:extrusionH="0" w14:contourW="0" w14:prstMaterial="clear"/>
                            </w:rPr>
                            <w:t xml:space="preserve"> 2026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7" o:spid="_x0000_s1026" o:spt="1" style="position:absolute;left:0pt;margin-left:-59.5pt;margin-top:18.3pt;height:27pt;width:145pt;z-index:251662336;v-text-anchor:middle;mso-width-relative:page;mso-height-relative:page;" filled="f" stroked="f" coordsize="21600,21600" o:gfxdata="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w+hGdcA&#10;AAAKAQAADwAAAAAAAAABACAAAAAiAAAAZHJzL2Rvd25yZXYueG1sUEsBAhQAFAAAAAgAh07iQBE+&#10;sTRZAgAAvwQAAA4AAAAAAAAAAQAgAAAAJgEAAGRycy9lMm9Eb2MueG1sUEsFBgAAAAAGAAYAWQEA&#10;APEFAAAAAA==&#10;">
              <v:fill on="f" focussize="0,0"/>
              <v:stroke on="f" weight="1pt" miterlimit="8" joinstyle="miter"/>
              <v:imagedata o:title=""/>
              <o:lock v:ext="edit" aspectratio="f"/>
              <v:textbox>
                <w:txbxContent>
                  <w:p w14:paraId="430E222E">
                    <w:pPr>
                      <w:jc w:val="center"/>
                      <w:rPr>
                        <w:b/>
                        <w:bCs/>
                        <w:color w:val="C55A11" w:themeColor="accent2" w:themeShade="BF"/>
                        <w:sz w:val="24"/>
                        <w:szCs w:val="24"/>
                        <w14:reflection w14:blurRad="6350" w14:stA="53000" w14:stPos="0" w14:endA="300" w14:endPos="35500" w14:dist="0" w14:dir="5400000" w14:fadeDir="5400000" w14:sx="100000" w14:sy="-90000" w14:kx="0" w14:ky="0" w14:algn="bl"/>
                        <w14:props3d w14:extrusionH="0" w14:contourW="0" w14:prstMaterial="clear"/>
                      </w:rPr>
                    </w:pPr>
                    <w:r>
                      <w:rPr>
                        <w:rFonts w:hint="default"/>
                        <w:b/>
                        <w:bCs/>
                        <w:color w:val="C55A11" w:themeColor="accent2" w:themeShade="BF"/>
                        <w:sz w:val="24"/>
                        <w:szCs w:val="24"/>
                        <w:lang w:val="en-US"/>
                        <w14:reflection w14:blurRad="6350" w14:stA="53000" w14:stPos="0" w14:endA="300" w14:endPos="35500" w14:dist="0" w14:dir="5400000" w14:fadeDir="5400000" w14:sx="100000" w14:sy="-90000" w14:kx="0" w14:ky="0" w14:algn="bl"/>
                        <w14:props3d w14:extrusionH="0" w14:contourW="0" w14:prstMaterial="clear"/>
                      </w:rPr>
                      <w:t>Waqas et al.,</w:t>
                    </w:r>
                    <w:r>
                      <w:rPr>
                        <w:b/>
                        <w:bCs/>
                        <w:color w:val="C55A11" w:themeColor="accent2" w:themeShade="BF"/>
                        <w:sz w:val="24"/>
                        <w:szCs w:val="24"/>
                        <w14:reflection w14:blurRad="6350" w14:stA="53000" w14:stPos="0" w14:endA="300" w14:endPos="35500" w14:dist="0" w14:dir="5400000" w14:fadeDir="5400000" w14:sx="100000" w14:sy="-90000" w14:kx="0" w14:ky="0" w14:algn="bl"/>
                        <w14:props3d w14:extrusionH="0" w14:contourW="0" w14:prstMaterial="clear"/>
                      </w:rPr>
                      <w:t xml:space="preserve"> 2026</w:t>
                    </w:r>
                  </w:p>
                </w:txbxContent>
              </v:textbox>
            </v:rect>
          </w:pict>
        </mc:Fallback>
      </mc:AlternateContent>
    </w:r>
    <w:r>
      <w:rPr>
        <w:rFonts w:ascii="Segoe UI" w:hAnsi="Segoe UI" w:eastAsia="Segoe UI" w:cs="Segoe UI"/>
        <w:sz w:val="14"/>
        <w:szCs w:val="14"/>
        <w:shd w:val="clear" w:color="auto" w:fill="FFFFFF"/>
        <w:lang w:bidi="ar"/>
      </w:rPr>
      <w:t xml:space="preserve">                                                                                                                                                                 </w:t>
    </w:r>
    <w:r>
      <w:rPr>
        <w:rFonts w:ascii="Segoe UI" w:hAnsi="Segoe UI" w:eastAsia="Segoe UI" w:cs="Segoe UI"/>
        <w:b/>
        <w:bCs/>
        <w:sz w:val="16"/>
        <w:szCs w:val="16"/>
        <w:shd w:val="clear" w:color="auto" w:fill="FFFFFF"/>
        <w:lang w:bidi="ar"/>
      </w:rPr>
      <w:t>Online ISSN</w:t>
    </w:r>
    <w:r>
      <w:rPr>
        <w:rFonts w:ascii="Segoe UI" w:hAnsi="Segoe UI" w:eastAsia="Segoe UI"/>
        <w:b/>
        <w:bCs/>
        <w:sz w:val="16"/>
        <w:szCs w:val="16"/>
        <w:shd w:val="clear" w:color="auto" w:fill="FFFFFF"/>
      </w:rPr>
      <w:t xml:space="preserve">                        Print ISSN</w:t>
    </w:r>
  </w:p>
  <w:p w14:paraId="4F172A01">
    <w:pPr>
      <w:shd w:val="clear" w:color="auto" w:fill="FFFFFF"/>
      <w:jc w:val="right"/>
      <w:rPr>
        <w:rFonts w:ascii="Segoe UI" w:hAnsi="Segoe UI" w:eastAsia="Segoe UI" w:cs="Segoe UI"/>
        <w:sz w:val="14"/>
        <w:szCs w:val="14"/>
        <w:shd w:val="clear" w:color="auto" w:fill="FFFFFF"/>
        <w:lang w:bidi="ar"/>
      </w:rPr>
    </w:pPr>
  </w:p>
  <w:p w14:paraId="7028F243">
    <w:pPr>
      <w:shd w:val="clear" w:color="auto" w:fill="FFFFFF"/>
      <w:jc w:val="right"/>
      <w:rPr>
        <w:rFonts w:ascii="Segoe UI" w:hAnsi="Segoe UI" w:eastAsia="Segoe UI" w:cs="Segoe UI"/>
        <w:sz w:val="14"/>
        <w:szCs w:val="14"/>
        <w:shd w:val="clear" w:color="auto" w:fill="FFFFFF"/>
        <w:lang w:bidi="ar"/>
      </w:rPr>
    </w:pPr>
  </w:p>
  <w:p w14:paraId="4AAFA6DF">
    <w:pPr>
      <w:shd w:val="clear" w:color="auto" w:fill="FFFFFF"/>
      <w:jc w:val="right"/>
      <w:rPr>
        <w:rFonts w:ascii="Segoe UI Historic" w:hAnsi="Segoe UI Historic" w:eastAsia="Segoe UI"/>
        <w:b/>
        <w:bCs/>
        <w:sz w:val="24"/>
        <w:szCs w:val="24"/>
        <w:shd w:val="clear" w:color="auto" w:fill="FFFFFF"/>
      </w:rPr>
    </w:pPr>
    <w:r>
      <w:rPr>
        <w:rFonts w:ascii="Segoe UI" w:hAnsi="Segoe UI" w:eastAsia="Segoe UI" w:cs="Segoe UI"/>
        <w:sz w:val="14"/>
        <w:szCs w:val="14"/>
        <w:shd w:val="clear" w:color="auto" w:fill="FFFFFF"/>
        <w:lang w:eastAsia="en-US"/>
      </w:rPr>
      <w:drawing>
        <wp:inline distT="0" distB="0" distL="114300" distR="114300">
          <wp:extent cx="866775" cy="228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stretch>
                    <a:fillRect/>
                  </a:stretch>
                </pic:blipFill>
                <pic:spPr>
                  <a:xfrm>
                    <a:off x="0" y="0"/>
                    <a:ext cx="866775" cy="228600"/>
                  </a:xfrm>
                  <a:prstGeom prst="rect">
                    <a:avLst/>
                  </a:prstGeom>
                  <a:noFill/>
                  <a:ln>
                    <a:noFill/>
                  </a:ln>
                </pic:spPr>
              </pic:pic>
            </a:graphicData>
          </a:graphic>
        </wp:inline>
      </w:drawing>
    </w:r>
    <w:r>
      <w:rPr>
        <w:rFonts w:ascii="Segoe UI" w:hAnsi="Segoe UI" w:eastAsia="Segoe UI" w:cs="Segoe UI"/>
        <w:sz w:val="14"/>
        <w:szCs w:val="14"/>
        <w:shd w:val="clear" w:color="auto" w:fill="FFFFFF"/>
        <w:lang w:bidi="ar"/>
      </w:rPr>
      <w:t xml:space="preserve">       </w:t>
    </w:r>
    <w:r>
      <w:rPr>
        <w:rFonts w:ascii="Segoe UI" w:hAnsi="Segoe UI" w:eastAsia="Segoe UI" w:cs="Segoe UI"/>
        <w:sz w:val="14"/>
        <w:szCs w:val="14"/>
        <w:shd w:val="clear" w:color="auto" w:fill="FFFFFF"/>
        <w:lang w:eastAsia="en-US"/>
      </w:rPr>
      <w:drawing>
        <wp:inline distT="0" distB="0" distL="114300" distR="114300">
          <wp:extent cx="866775" cy="22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a:stretch>
                    <a:fillRect/>
                  </a:stretch>
                </pic:blipFill>
                <pic:spPr>
                  <a:xfrm>
                    <a:off x="0" y="0"/>
                    <a:ext cx="866775" cy="228600"/>
                  </a:xfrm>
                  <a:prstGeom prst="rect">
                    <a:avLst/>
                  </a:prstGeom>
                  <a:noFill/>
                  <a:ln>
                    <a:noFill/>
                  </a:ln>
                </pic:spPr>
              </pic:pic>
            </a:graphicData>
          </a:graphic>
        </wp:inline>
      </w:drawing>
    </w:r>
  </w:p>
  <w:p w14:paraId="67C8835B">
    <w:pPr>
      <w:pStyle w:val="13"/>
    </w:pPr>
    <w:r>
      <w:rPr>
        <w:sz w:val="24"/>
        <w:lang w:eastAsia="en-US"/>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8255</wp:posOffset>
              </wp:positionV>
              <wp:extent cx="7533005" cy="0"/>
              <wp:effectExtent l="0" t="13970" r="10795" b="24130"/>
              <wp:wrapNone/>
              <wp:docPr id="11" name="Straight Connector 11"/>
              <wp:cNvGraphicFramePr/>
              <a:graphic xmlns:a="http://schemas.openxmlformats.org/drawingml/2006/main">
                <a:graphicData uri="http://schemas.microsoft.com/office/word/2010/wordprocessingShape">
                  <wps:wsp>
                    <wps:cNvCnPr/>
                    <wps:spPr>
                      <a:xfrm>
                        <a:off x="17780" y="1383665"/>
                        <a:ext cx="7533005" cy="0"/>
                      </a:xfrm>
                      <a:prstGeom prst="line">
                        <a:avLst/>
                      </a:prstGeom>
                      <a:noFill/>
                      <a:ln w="28575" cap="flat" cmpd="sng" algn="ctr">
                        <a:solidFill>
                          <a:srgbClr val="5B9BD5">
                            <a:lumMod val="50000"/>
                          </a:srgbClr>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2pt;margin-top:0.65pt;height:0pt;width:593.15pt;z-index:251661312;mso-width-relative:page;mso-height-relative:page;" filled="f" stroked="t" coordsize="21600,21600" o:gfxdata="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Vh29HYAAAACQEAAA8AAAAAAAAAAQAgAAAAIgAAAGRycy9kb3ducmV2Lnht&#10;bFBLAQIUABQAAAAIAIdO4kDPlrmS+QEAAPEDAAAOAAAAAAAAAAEAIAAAACcBAABkcnMvZTJvRG9j&#10;LnhtbFBLBQYAAAAABgAGAFkBAACSBQAAAAA=&#10;">
              <v:fill on="f" focussize="0,0"/>
              <v:stroke weight="2.25pt" color="#1F4E79 [16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37595"/>
    <w:multiLevelType w:val="singleLevel"/>
    <w:tmpl w:val="81037595"/>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20"/>
  <w:drawingGridVerticalSpacing w:val="156"/>
  <w:noPunctuationKerning w:val="1"/>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41F5"/>
    <w:rsid w:val="00155351"/>
    <w:rsid w:val="001B565C"/>
    <w:rsid w:val="002C58D5"/>
    <w:rsid w:val="00322DC5"/>
    <w:rsid w:val="00356DEF"/>
    <w:rsid w:val="00417750"/>
    <w:rsid w:val="0052306F"/>
    <w:rsid w:val="00680752"/>
    <w:rsid w:val="006C4D6E"/>
    <w:rsid w:val="006F3227"/>
    <w:rsid w:val="007006C6"/>
    <w:rsid w:val="007457D8"/>
    <w:rsid w:val="008E05AF"/>
    <w:rsid w:val="008E34FA"/>
    <w:rsid w:val="009059B2"/>
    <w:rsid w:val="00963F22"/>
    <w:rsid w:val="00970FC6"/>
    <w:rsid w:val="009A7EAD"/>
    <w:rsid w:val="00A05833"/>
    <w:rsid w:val="00A463DD"/>
    <w:rsid w:val="00B14CFA"/>
    <w:rsid w:val="00B41A80"/>
    <w:rsid w:val="00C326CF"/>
    <w:rsid w:val="00C52FDE"/>
    <w:rsid w:val="00CB5911"/>
    <w:rsid w:val="00E06AB7"/>
    <w:rsid w:val="00E45FB5"/>
    <w:rsid w:val="00E57DE9"/>
    <w:rsid w:val="00F06BF2"/>
    <w:rsid w:val="0100229E"/>
    <w:rsid w:val="012B7813"/>
    <w:rsid w:val="01575483"/>
    <w:rsid w:val="01611D93"/>
    <w:rsid w:val="01892C53"/>
    <w:rsid w:val="019D7E34"/>
    <w:rsid w:val="01B16FF4"/>
    <w:rsid w:val="01B17B2C"/>
    <w:rsid w:val="01B9209A"/>
    <w:rsid w:val="01BE3BEC"/>
    <w:rsid w:val="01D84795"/>
    <w:rsid w:val="01DF1BA2"/>
    <w:rsid w:val="01E3422C"/>
    <w:rsid w:val="01EF183B"/>
    <w:rsid w:val="01FF6CDA"/>
    <w:rsid w:val="0203056D"/>
    <w:rsid w:val="020B131A"/>
    <w:rsid w:val="02875833"/>
    <w:rsid w:val="028B4239"/>
    <w:rsid w:val="02AD34F4"/>
    <w:rsid w:val="02C22194"/>
    <w:rsid w:val="02C31E14"/>
    <w:rsid w:val="02E91E4F"/>
    <w:rsid w:val="03227C2F"/>
    <w:rsid w:val="032356B1"/>
    <w:rsid w:val="03350E4E"/>
    <w:rsid w:val="0335451E"/>
    <w:rsid w:val="03600D99"/>
    <w:rsid w:val="0362429C"/>
    <w:rsid w:val="037E7460"/>
    <w:rsid w:val="038247D1"/>
    <w:rsid w:val="03A06BE9"/>
    <w:rsid w:val="03B079D3"/>
    <w:rsid w:val="03BA49C0"/>
    <w:rsid w:val="03D94292"/>
    <w:rsid w:val="03EC7C9F"/>
    <w:rsid w:val="03F020F2"/>
    <w:rsid w:val="03F507E9"/>
    <w:rsid w:val="041F716E"/>
    <w:rsid w:val="045525AB"/>
    <w:rsid w:val="04B334F0"/>
    <w:rsid w:val="051F06E7"/>
    <w:rsid w:val="05400623"/>
    <w:rsid w:val="05596C7E"/>
    <w:rsid w:val="05932F45"/>
    <w:rsid w:val="05CA7746"/>
    <w:rsid w:val="05E52CBE"/>
    <w:rsid w:val="05FF4B65"/>
    <w:rsid w:val="061B4495"/>
    <w:rsid w:val="063E03DA"/>
    <w:rsid w:val="06515869"/>
    <w:rsid w:val="06670810"/>
    <w:rsid w:val="06760047"/>
    <w:rsid w:val="067B57E2"/>
    <w:rsid w:val="06A80C5F"/>
    <w:rsid w:val="06E14CBE"/>
    <w:rsid w:val="07153256"/>
    <w:rsid w:val="071C745C"/>
    <w:rsid w:val="072D1D54"/>
    <w:rsid w:val="0760493D"/>
    <w:rsid w:val="077B4CE2"/>
    <w:rsid w:val="07FE7F41"/>
    <w:rsid w:val="082A5986"/>
    <w:rsid w:val="084474AB"/>
    <w:rsid w:val="0859491B"/>
    <w:rsid w:val="08816E02"/>
    <w:rsid w:val="08914E9E"/>
    <w:rsid w:val="08D33389"/>
    <w:rsid w:val="095C3EEF"/>
    <w:rsid w:val="09972663"/>
    <w:rsid w:val="099B3FA8"/>
    <w:rsid w:val="099F6038"/>
    <w:rsid w:val="09B06AF6"/>
    <w:rsid w:val="0A2C4C3F"/>
    <w:rsid w:val="0A2C6E3E"/>
    <w:rsid w:val="0A35316E"/>
    <w:rsid w:val="0A46326B"/>
    <w:rsid w:val="0A82564E"/>
    <w:rsid w:val="0A8E1461"/>
    <w:rsid w:val="0A9E0C56"/>
    <w:rsid w:val="0ADD636F"/>
    <w:rsid w:val="0AF17E80"/>
    <w:rsid w:val="0AF5210A"/>
    <w:rsid w:val="0B347691"/>
    <w:rsid w:val="0B4E601C"/>
    <w:rsid w:val="0B645CB3"/>
    <w:rsid w:val="0B6C304D"/>
    <w:rsid w:val="0B863563"/>
    <w:rsid w:val="0B863F89"/>
    <w:rsid w:val="0B976D12"/>
    <w:rsid w:val="0C1F2AF1"/>
    <w:rsid w:val="0C5030F9"/>
    <w:rsid w:val="0C7158E4"/>
    <w:rsid w:val="0C7B320A"/>
    <w:rsid w:val="0C9772B7"/>
    <w:rsid w:val="0CD875CA"/>
    <w:rsid w:val="0CE87012"/>
    <w:rsid w:val="0D0D5D7F"/>
    <w:rsid w:val="0D337028"/>
    <w:rsid w:val="0D5940F5"/>
    <w:rsid w:val="0D66668B"/>
    <w:rsid w:val="0D681B8E"/>
    <w:rsid w:val="0D8D654B"/>
    <w:rsid w:val="0D8E04F1"/>
    <w:rsid w:val="0D914F51"/>
    <w:rsid w:val="0DBB20A3"/>
    <w:rsid w:val="0DC635AB"/>
    <w:rsid w:val="0DF93F30"/>
    <w:rsid w:val="0E100D9F"/>
    <w:rsid w:val="0E15476E"/>
    <w:rsid w:val="0E46377B"/>
    <w:rsid w:val="0E4920B7"/>
    <w:rsid w:val="0E920377"/>
    <w:rsid w:val="0E943F04"/>
    <w:rsid w:val="0EE25C0E"/>
    <w:rsid w:val="0EFF5127"/>
    <w:rsid w:val="0F40502B"/>
    <w:rsid w:val="0F51172E"/>
    <w:rsid w:val="0F533062"/>
    <w:rsid w:val="0F642218"/>
    <w:rsid w:val="0F8315AB"/>
    <w:rsid w:val="0F8E7273"/>
    <w:rsid w:val="0F906E16"/>
    <w:rsid w:val="0FA83CF6"/>
    <w:rsid w:val="0FCA38F7"/>
    <w:rsid w:val="0FEF03BB"/>
    <w:rsid w:val="0FF4755A"/>
    <w:rsid w:val="107F3D28"/>
    <w:rsid w:val="108871AD"/>
    <w:rsid w:val="1088783E"/>
    <w:rsid w:val="108E4939"/>
    <w:rsid w:val="10AB21E4"/>
    <w:rsid w:val="10E24BEF"/>
    <w:rsid w:val="10F25629"/>
    <w:rsid w:val="112C1D96"/>
    <w:rsid w:val="11811943"/>
    <w:rsid w:val="11822C48"/>
    <w:rsid w:val="11F9585B"/>
    <w:rsid w:val="11F972E4"/>
    <w:rsid w:val="120C0197"/>
    <w:rsid w:val="123404ED"/>
    <w:rsid w:val="1248718E"/>
    <w:rsid w:val="126D2DCB"/>
    <w:rsid w:val="1296629B"/>
    <w:rsid w:val="129C3395"/>
    <w:rsid w:val="12A365A3"/>
    <w:rsid w:val="12A407A1"/>
    <w:rsid w:val="12C235D4"/>
    <w:rsid w:val="12CF2221"/>
    <w:rsid w:val="12D2386F"/>
    <w:rsid w:val="12D30A20"/>
    <w:rsid w:val="12D44687"/>
    <w:rsid w:val="131D6DD4"/>
    <w:rsid w:val="13316FB6"/>
    <w:rsid w:val="13373A16"/>
    <w:rsid w:val="1344556A"/>
    <w:rsid w:val="134D644D"/>
    <w:rsid w:val="135C1229"/>
    <w:rsid w:val="1363315E"/>
    <w:rsid w:val="1381490C"/>
    <w:rsid w:val="13B30D7A"/>
    <w:rsid w:val="13EC3FBB"/>
    <w:rsid w:val="140219E2"/>
    <w:rsid w:val="14191607"/>
    <w:rsid w:val="14337FB3"/>
    <w:rsid w:val="143A3E96"/>
    <w:rsid w:val="145F42FA"/>
    <w:rsid w:val="147A2925"/>
    <w:rsid w:val="147F0E96"/>
    <w:rsid w:val="14877304"/>
    <w:rsid w:val="148946C9"/>
    <w:rsid w:val="14A26068"/>
    <w:rsid w:val="14A511EB"/>
    <w:rsid w:val="14D40300"/>
    <w:rsid w:val="14DC5FE6"/>
    <w:rsid w:val="14DC6AD9"/>
    <w:rsid w:val="152662C1"/>
    <w:rsid w:val="1552040A"/>
    <w:rsid w:val="15585126"/>
    <w:rsid w:val="15655DA6"/>
    <w:rsid w:val="15701BB9"/>
    <w:rsid w:val="15A10189"/>
    <w:rsid w:val="15B5766E"/>
    <w:rsid w:val="15BB02DA"/>
    <w:rsid w:val="15CF79D4"/>
    <w:rsid w:val="15E93E01"/>
    <w:rsid w:val="15FB249C"/>
    <w:rsid w:val="164C60A4"/>
    <w:rsid w:val="16895F09"/>
    <w:rsid w:val="17103863"/>
    <w:rsid w:val="17246532"/>
    <w:rsid w:val="1763366E"/>
    <w:rsid w:val="17B346F1"/>
    <w:rsid w:val="17CE2D1D"/>
    <w:rsid w:val="17EF0CD3"/>
    <w:rsid w:val="180F7009"/>
    <w:rsid w:val="1816180F"/>
    <w:rsid w:val="182014A2"/>
    <w:rsid w:val="18363646"/>
    <w:rsid w:val="184E2012"/>
    <w:rsid w:val="186E7023"/>
    <w:rsid w:val="1882136F"/>
    <w:rsid w:val="1889564E"/>
    <w:rsid w:val="18DD50D8"/>
    <w:rsid w:val="19024013"/>
    <w:rsid w:val="19042D9A"/>
    <w:rsid w:val="191C6F37"/>
    <w:rsid w:val="19204E66"/>
    <w:rsid w:val="196D6140"/>
    <w:rsid w:val="19726F99"/>
    <w:rsid w:val="19732FD3"/>
    <w:rsid w:val="198E6520"/>
    <w:rsid w:val="198F297E"/>
    <w:rsid w:val="199E7715"/>
    <w:rsid w:val="19DF3A01"/>
    <w:rsid w:val="19DF4D9C"/>
    <w:rsid w:val="19F426A2"/>
    <w:rsid w:val="1A0C5AD1"/>
    <w:rsid w:val="1A4428B3"/>
    <w:rsid w:val="1A6265A0"/>
    <w:rsid w:val="1A6C639B"/>
    <w:rsid w:val="1A6F1FF1"/>
    <w:rsid w:val="1A722F70"/>
    <w:rsid w:val="1AAE5354"/>
    <w:rsid w:val="1AF41D51"/>
    <w:rsid w:val="1AF52EB2"/>
    <w:rsid w:val="1AF866CC"/>
    <w:rsid w:val="1B1062F2"/>
    <w:rsid w:val="1B5E1503"/>
    <w:rsid w:val="1B6260FC"/>
    <w:rsid w:val="1C13269C"/>
    <w:rsid w:val="1C1C0DAE"/>
    <w:rsid w:val="1C394ADA"/>
    <w:rsid w:val="1C7F49F7"/>
    <w:rsid w:val="1CD63A5F"/>
    <w:rsid w:val="1CF247C1"/>
    <w:rsid w:val="1CFC261A"/>
    <w:rsid w:val="1CFD5560"/>
    <w:rsid w:val="1D137478"/>
    <w:rsid w:val="1D1B764B"/>
    <w:rsid w:val="1D1C0950"/>
    <w:rsid w:val="1D1C66EC"/>
    <w:rsid w:val="1D2A0352"/>
    <w:rsid w:val="1D322AF4"/>
    <w:rsid w:val="1D735111"/>
    <w:rsid w:val="1D802A48"/>
    <w:rsid w:val="1D8F2E8D"/>
    <w:rsid w:val="1DA91839"/>
    <w:rsid w:val="1DAA14B9"/>
    <w:rsid w:val="1DF0497A"/>
    <w:rsid w:val="1E0F6C5F"/>
    <w:rsid w:val="1E163801"/>
    <w:rsid w:val="1E1F33C5"/>
    <w:rsid w:val="1E2B2E7F"/>
    <w:rsid w:val="1E467139"/>
    <w:rsid w:val="1E5B6AD6"/>
    <w:rsid w:val="1E780220"/>
    <w:rsid w:val="1E8C78AD"/>
    <w:rsid w:val="1E99393B"/>
    <w:rsid w:val="1EBE54DD"/>
    <w:rsid w:val="1EE00481"/>
    <w:rsid w:val="1F057CAB"/>
    <w:rsid w:val="1F16618C"/>
    <w:rsid w:val="1F454ADD"/>
    <w:rsid w:val="1F497C60"/>
    <w:rsid w:val="1F6F5903"/>
    <w:rsid w:val="1F7D4C37"/>
    <w:rsid w:val="1FAE6BA2"/>
    <w:rsid w:val="1FC410B2"/>
    <w:rsid w:val="1FD62D47"/>
    <w:rsid w:val="1FD870AC"/>
    <w:rsid w:val="1FE91D68"/>
    <w:rsid w:val="200733B8"/>
    <w:rsid w:val="200D0CA3"/>
    <w:rsid w:val="20432070"/>
    <w:rsid w:val="208A42B8"/>
    <w:rsid w:val="208B2656"/>
    <w:rsid w:val="20C12FF1"/>
    <w:rsid w:val="20EF2AED"/>
    <w:rsid w:val="20FF0D39"/>
    <w:rsid w:val="21306F24"/>
    <w:rsid w:val="21575429"/>
    <w:rsid w:val="217C217E"/>
    <w:rsid w:val="219A3A21"/>
    <w:rsid w:val="21AC2CCE"/>
    <w:rsid w:val="21B71C80"/>
    <w:rsid w:val="21CC2308"/>
    <w:rsid w:val="21D91B08"/>
    <w:rsid w:val="22004956"/>
    <w:rsid w:val="221A286D"/>
    <w:rsid w:val="2223038E"/>
    <w:rsid w:val="223A3836"/>
    <w:rsid w:val="22467649"/>
    <w:rsid w:val="225F535D"/>
    <w:rsid w:val="22621177"/>
    <w:rsid w:val="22890333"/>
    <w:rsid w:val="23462A6F"/>
    <w:rsid w:val="23567486"/>
    <w:rsid w:val="23850A31"/>
    <w:rsid w:val="238D06EB"/>
    <w:rsid w:val="239969B1"/>
    <w:rsid w:val="23B755D9"/>
    <w:rsid w:val="23D66ADB"/>
    <w:rsid w:val="23D820E3"/>
    <w:rsid w:val="23DC78F9"/>
    <w:rsid w:val="241565BF"/>
    <w:rsid w:val="241D724F"/>
    <w:rsid w:val="24381075"/>
    <w:rsid w:val="244D419B"/>
    <w:rsid w:val="246759AE"/>
    <w:rsid w:val="24711C3E"/>
    <w:rsid w:val="24732529"/>
    <w:rsid w:val="247E5E10"/>
    <w:rsid w:val="248972F7"/>
    <w:rsid w:val="249D6897"/>
    <w:rsid w:val="24BD3DEB"/>
    <w:rsid w:val="24C279DD"/>
    <w:rsid w:val="24D61575"/>
    <w:rsid w:val="24E707BB"/>
    <w:rsid w:val="250A6A53"/>
    <w:rsid w:val="250F4259"/>
    <w:rsid w:val="25171665"/>
    <w:rsid w:val="25585215"/>
    <w:rsid w:val="25702FF9"/>
    <w:rsid w:val="25D56CAC"/>
    <w:rsid w:val="26321282"/>
    <w:rsid w:val="263343BB"/>
    <w:rsid w:val="26833736"/>
    <w:rsid w:val="26A37EF2"/>
    <w:rsid w:val="26FE0374"/>
    <w:rsid w:val="27187802"/>
    <w:rsid w:val="27336BD8"/>
    <w:rsid w:val="273861E8"/>
    <w:rsid w:val="274C4E88"/>
    <w:rsid w:val="2778594C"/>
    <w:rsid w:val="278776B2"/>
    <w:rsid w:val="27890088"/>
    <w:rsid w:val="27D56B01"/>
    <w:rsid w:val="27D74A6C"/>
    <w:rsid w:val="282073DF"/>
    <w:rsid w:val="286A3FDB"/>
    <w:rsid w:val="28B74C07"/>
    <w:rsid w:val="28D71C91"/>
    <w:rsid w:val="28FE6A4D"/>
    <w:rsid w:val="29287DCB"/>
    <w:rsid w:val="29300521"/>
    <w:rsid w:val="293D1FE6"/>
    <w:rsid w:val="29422CD6"/>
    <w:rsid w:val="29493649"/>
    <w:rsid w:val="295F2034"/>
    <w:rsid w:val="29C55857"/>
    <w:rsid w:val="2A1B39A1"/>
    <w:rsid w:val="2A56574C"/>
    <w:rsid w:val="2A65091E"/>
    <w:rsid w:val="2A8A2322"/>
    <w:rsid w:val="2A982071"/>
    <w:rsid w:val="2B2F7FE6"/>
    <w:rsid w:val="2B625252"/>
    <w:rsid w:val="2BAE1BB9"/>
    <w:rsid w:val="2BBC2FA2"/>
    <w:rsid w:val="2BC32E28"/>
    <w:rsid w:val="2BFF21AD"/>
    <w:rsid w:val="2C0B206C"/>
    <w:rsid w:val="2C175D66"/>
    <w:rsid w:val="2C31690F"/>
    <w:rsid w:val="2C8C5D24"/>
    <w:rsid w:val="2C9E36C0"/>
    <w:rsid w:val="2CB76741"/>
    <w:rsid w:val="2CE72DFF"/>
    <w:rsid w:val="2CF51ED1"/>
    <w:rsid w:val="2D0D1776"/>
    <w:rsid w:val="2D19377E"/>
    <w:rsid w:val="2D1D490A"/>
    <w:rsid w:val="2D296C0B"/>
    <w:rsid w:val="2D3D046B"/>
    <w:rsid w:val="2DBF7D4F"/>
    <w:rsid w:val="2DCA53AC"/>
    <w:rsid w:val="2DDB1B9B"/>
    <w:rsid w:val="2DFC6B3F"/>
    <w:rsid w:val="2E113EEB"/>
    <w:rsid w:val="2E2F0953"/>
    <w:rsid w:val="2E40666F"/>
    <w:rsid w:val="2E7510C8"/>
    <w:rsid w:val="2F083808"/>
    <w:rsid w:val="2F0860B8"/>
    <w:rsid w:val="2F1F467B"/>
    <w:rsid w:val="2F4058E6"/>
    <w:rsid w:val="2F6E12E0"/>
    <w:rsid w:val="2FA803B2"/>
    <w:rsid w:val="2FC63EED"/>
    <w:rsid w:val="300B4EF7"/>
    <w:rsid w:val="303D06B3"/>
    <w:rsid w:val="303F1B23"/>
    <w:rsid w:val="3045369C"/>
    <w:rsid w:val="30486A45"/>
    <w:rsid w:val="3052069C"/>
    <w:rsid w:val="3078247C"/>
    <w:rsid w:val="30E92D4B"/>
    <w:rsid w:val="31130982"/>
    <w:rsid w:val="31151176"/>
    <w:rsid w:val="31207BA9"/>
    <w:rsid w:val="31331EC5"/>
    <w:rsid w:val="313918B6"/>
    <w:rsid w:val="314E4A5F"/>
    <w:rsid w:val="31571E34"/>
    <w:rsid w:val="31582B4C"/>
    <w:rsid w:val="315B5608"/>
    <w:rsid w:val="315B746B"/>
    <w:rsid w:val="317959B8"/>
    <w:rsid w:val="31832F49"/>
    <w:rsid w:val="31B3151A"/>
    <w:rsid w:val="31B93666"/>
    <w:rsid w:val="31D42A7B"/>
    <w:rsid w:val="321D3148"/>
    <w:rsid w:val="32712BD2"/>
    <w:rsid w:val="327E0493"/>
    <w:rsid w:val="3286192B"/>
    <w:rsid w:val="328672F4"/>
    <w:rsid w:val="32C828E4"/>
    <w:rsid w:val="32D802C5"/>
    <w:rsid w:val="32DB47FF"/>
    <w:rsid w:val="32E20907"/>
    <w:rsid w:val="32F20077"/>
    <w:rsid w:val="333D7782"/>
    <w:rsid w:val="33634D15"/>
    <w:rsid w:val="339A3939"/>
    <w:rsid w:val="33AF6B84"/>
    <w:rsid w:val="33CB4108"/>
    <w:rsid w:val="3401278C"/>
    <w:rsid w:val="340706E9"/>
    <w:rsid w:val="341A770A"/>
    <w:rsid w:val="344A5943"/>
    <w:rsid w:val="34650A83"/>
    <w:rsid w:val="34777AA4"/>
    <w:rsid w:val="34A22AE6"/>
    <w:rsid w:val="34E857D9"/>
    <w:rsid w:val="34EC42FE"/>
    <w:rsid w:val="35006703"/>
    <w:rsid w:val="35134FC9"/>
    <w:rsid w:val="352B4FC9"/>
    <w:rsid w:val="353B341C"/>
    <w:rsid w:val="354E4284"/>
    <w:rsid w:val="359B058C"/>
    <w:rsid w:val="359B7884"/>
    <w:rsid w:val="35B93933"/>
    <w:rsid w:val="35C9233B"/>
    <w:rsid w:val="35D65462"/>
    <w:rsid w:val="360A1549"/>
    <w:rsid w:val="361F7329"/>
    <w:rsid w:val="36273AB2"/>
    <w:rsid w:val="36372206"/>
    <w:rsid w:val="366E68DA"/>
    <w:rsid w:val="367B39F1"/>
    <w:rsid w:val="368B295D"/>
    <w:rsid w:val="36CA7931"/>
    <w:rsid w:val="36F01431"/>
    <w:rsid w:val="37015323"/>
    <w:rsid w:val="37353784"/>
    <w:rsid w:val="37596E64"/>
    <w:rsid w:val="37705203"/>
    <w:rsid w:val="37926A3C"/>
    <w:rsid w:val="37B034C1"/>
    <w:rsid w:val="37E02C83"/>
    <w:rsid w:val="37ED024E"/>
    <w:rsid w:val="37F93E62"/>
    <w:rsid w:val="380A70DA"/>
    <w:rsid w:val="38125195"/>
    <w:rsid w:val="382736AC"/>
    <w:rsid w:val="3842555B"/>
    <w:rsid w:val="38437481"/>
    <w:rsid w:val="38733B2C"/>
    <w:rsid w:val="38957564"/>
    <w:rsid w:val="38A36879"/>
    <w:rsid w:val="38B93AB0"/>
    <w:rsid w:val="38E54EBA"/>
    <w:rsid w:val="38F7349A"/>
    <w:rsid w:val="39123338"/>
    <w:rsid w:val="393B205B"/>
    <w:rsid w:val="39646BFB"/>
    <w:rsid w:val="39831930"/>
    <w:rsid w:val="39924DD7"/>
    <w:rsid w:val="39EE5323"/>
    <w:rsid w:val="39F871AB"/>
    <w:rsid w:val="3A150CD9"/>
    <w:rsid w:val="3A6D6330"/>
    <w:rsid w:val="3AE86AB3"/>
    <w:rsid w:val="3AF647FF"/>
    <w:rsid w:val="3B02643E"/>
    <w:rsid w:val="3B435D37"/>
    <w:rsid w:val="3B476ACD"/>
    <w:rsid w:val="3B7D7EEA"/>
    <w:rsid w:val="3B9D1A5A"/>
    <w:rsid w:val="3BAB296D"/>
    <w:rsid w:val="3BBA7FA8"/>
    <w:rsid w:val="3BDA2B5B"/>
    <w:rsid w:val="3BE42ACC"/>
    <w:rsid w:val="3BE504C2"/>
    <w:rsid w:val="3C015E80"/>
    <w:rsid w:val="3C123FE9"/>
    <w:rsid w:val="3C163F9D"/>
    <w:rsid w:val="3C1A012A"/>
    <w:rsid w:val="3C2F0FC9"/>
    <w:rsid w:val="3C493962"/>
    <w:rsid w:val="3C7671BF"/>
    <w:rsid w:val="3C7A132E"/>
    <w:rsid w:val="3C8F6D8E"/>
    <w:rsid w:val="3CC2183C"/>
    <w:rsid w:val="3CE81A7C"/>
    <w:rsid w:val="3D2B59E9"/>
    <w:rsid w:val="3D655CF2"/>
    <w:rsid w:val="3D913C2B"/>
    <w:rsid w:val="3DA2472E"/>
    <w:rsid w:val="3DAC503D"/>
    <w:rsid w:val="3E085839"/>
    <w:rsid w:val="3E1B0B74"/>
    <w:rsid w:val="3E250DF0"/>
    <w:rsid w:val="3E2E2399"/>
    <w:rsid w:val="3E526AD0"/>
    <w:rsid w:val="3E712A4F"/>
    <w:rsid w:val="3E7C145A"/>
    <w:rsid w:val="3E8649A0"/>
    <w:rsid w:val="3EAD2662"/>
    <w:rsid w:val="3EB62F71"/>
    <w:rsid w:val="3EC7320B"/>
    <w:rsid w:val="3F0F0523"/>
    <w:rsid w:val="3F302C3B"/>
    <w:rsid w:val="3F530871"/>
    <w:rsid w:val="3F7622E0"/>
    <w:rsid w:val="3FAA7A28"/>
    <w:rsid w:val="3FB31274"/>
    <w:rsid w:val="3FB45881"/>
    <w:rsid w:val="401425C9"/>
    <w:rsid w:val="406F22C2"/>
    <w:rsid w:val="40C770F8"/>
    <w:rsid w:val="40DB5220"/>
    <w:rsid w:val="40E81F8C"/>
    <w:rsid w:val="40F07371"/>
    <w:rsid w:val="40F9220A"/>
    <w:rsid w:val="40F94425"/>
    <w:rsid w:val="41090678"/>
    <w:rsid w:val="41450AAD"/>
    <w:rsid w:val="41490D2C"/>
    <w:rsid w:val="416318D6"/>
    <w:rsid w:val="417E6496"/>
    <w:rsid w:val="41A55BC2"/>
    <w:rsid w:val="41CD076A"/>
    <w:rsid w:val="421B4D44"/>
    <w:rsid w:val="42693382"/>
    <w:rsid w:val="42947A49"/>
    <w:rsid w:val="42A44E58"/>
    <w:rsid w:val="42B31AAF"/>
    <w:rsid w:val="42D9273C"/>
    <w:rsid w:val="42EA4CF6"/>
    <w:rsid w:val="42F35C5E"/>
    <w:rsid w:val="4314381B"/>
    <w:rsid w:val="43254DBA"/>
    <w:rsid w:val="43621C6F"/>
    <w:rsid w:val="437838ED"/>
    <w:rsid w:val="43B06F1C"/>
    <w:rsid w:val="43BC4F2D"/>
    <w:rsid w:val="43E36E83"/>
    <w:rsid w:val="43ED5682"/>
    <w:rsid w:val="440873CB"/>
    <w:rsid w:val="443D3AAF"/>
    <w:rsid w:val="4458062F"/>
    <w:rsid w:val="44957494"/>
    <w:rsid w:val="449B0C14"/>
    <w:rsid w:val="44CC370B"/>
    <w:rsid w:val="44D02B3A"/>
    <w:rsid w:val="44F05D50"/>
    <w:rsid w:val="45046549"/>
    <w:rsid w:val="450D3240"/>
    <w:rsid w:val="452B20B1"/>
    <w:rsid w:val="45321617"/>
    <w:rsid w:val="45552068"/>
    <w:rsid w:val="459703F3"/>
    <w:rsid w:val="4597133B"/>
    <w:rsid w:val="45BA7D13"/>
    <w:rsid w:val="460209EA"/>
    <w:rsid w:val="4633103D"/>
    <w:rsid w:val="464955DD"/>
    <w:rsid w:val="466D2298"/>
    <w:rsid w:val="467A2DE5"/>
    <w:rsid w:val="46905CD0"/>
    <w:rsid w:val="469E412B"/>
    <w:rsid w:val="46B04CC6"/>
    <w:rsid w:val="46B42A0C"/>
    <w:rsid w:val="46CE6C80"/>
    <w:rsid w:val="46E879E3"/>
    <w:rsid w:val="471E7DE1"/>
    <w:rsid w:val="47353186"/>
    <w:rsid w:val="47372FE6"/>
    <w:rsid w:val="47537E8F"/>
    <w:rsid w:val="478C02B5"/>
    <w:rsid w:val="479B1665"/>
    <w:rsid w:val="47A9421E"/>
    <w:rsid w:val="47D810E9"/>
    <w:rsid w:val="47DD69DA"/>
    <w:rsid w:val="47E16445"/>
    <w:rsid w:val="482A5E3C"/>
    <w:rsid w:val="484E4639"/>
    <w:rsid w:val="487D1938"/>
    <w:rsid w:val="4892419C"/>
    <w:rsid w:val="48A524D6"/>
    <w:rsid w:val="48B06FCF"/>
    <w:rsid w:val="48CF7884"/>
    <w:rsid w:val="49283796"/>
    <w:rsid w:val="49302DA0"/>
    <w:rsid w:val="493D5AD7"/>
    <w:rsid w:val="495F5E6E"/>
    <w:rsid w:val="49651BC4"/>
    <w:rsid w:val="49825129"/>
    <w:rsid w:val="49877032"/>
    <w:rsid w:val="49AB775A"/>
    <w:rsid w:val="49B123F5"/>
    <w:rsid w:val="4A030B7A"/>
    <w:rsid w:val="4A0C2CD2"/>
    <w:rsid w:val="4A4153BE"/>
    <w:rsid w:val="4A5210D4"/>
    <w:rsid w:val="4A661DCD"/>
    <w:rsid w:val="4A6D602B"/>
    <w:rsid w:val="4AC641C3"/>
    <w:rsid w:val="4ADD3586"/>
    <w:rsid w:val="4ADE16F1"/>
    <w:rsid w:val="4AE97B73"/>
    <w:rsid w:val="4B184032"/>
    <w:rsid w:val="4B551245"/>
    <w:rsid w:val="4B704787"/>
    <w:rsid w:val="4B72050C"/>
    <w:rsid w:val="4BBB26A2"/>
    <w:rsid w:val="4BC965DC"/>
    <w:rsid w:val="4BE1456F"/>
    <w:rsid w:val="4BF24EAD"/>
    <w:rsid w:val="4C1A3263"/>
    <w:rsid w:val="4C390AD2"/>
    <w:rsid w:val="4C7605FF"/>
    <w:rsid w:val="4C86113B"/>
    <w:rsid w:val="4CAE1DDD"/>
    <w:rsid w:val="4CC81BDD"/>
    <w:rsid w:val="4D1D6D5F"/>
    <w:rsid w:val="4D23781E"/>
    <w:rsid w:val="4D3F4746"/>
    <w:rsid w:val="4D594475"/>
    <w:rsid w:val="4D764381"/>
    <w:rsid w:val="4DD76F68"/>
    <w:rsid w:val="4DE21AEF"/>
    <w:rsid w:val="4E0B21B7"/>
    <w:rsid w:val="4E3166D6"/>
    <w:rsid w:val="4E74424D"/>
    <w:rsid w:val="4E8A2033"/>
    <w:rsid w:val="4E9764DA"/>
    <w:rsid w:val="4EB71E32"/>
    <w:rsid w:val="4F1137C6"/>
    <w:rsid w:val="4F2711ED"/>
    <w:rsid w:val="4F395006"/>
    <w:rsid w:val="4F73226E"/>
    <w:rsid w:val="4FB97609"/>
    <w:rsid w:val="4FEC1592"/>
    <w:rsid w:val="5010116A"/>
    <w:rsid w:val="5028041A"/>
    <w:rsid w:val="504E4501"/>
    <w:rsid w:val="505F71D5"/>
    <w:rsid w:val="507E1164"/>
    <w:rsid w:val="50BE5FC4"/>
    <w:rsid w:val="50CC3A9C"/>
    <w:rsid w:val="50E170C5"/>
    <w:rsid w:val="5114459E"/>
    <w:rsid w:val="51147713"/>
    <w:rsid w:val="51171524"/>
    <w:rsid w:val="513A3775"/>
    <w:rsid w:val="513D37C2"/>
    <w:rsid w:val="514C786D"/>
    <w:rsid w:val="518E5997"/>
    <w:rsid w:val="518F15DB"/>
    <w:rsid w:val="51A95A08"/>
    <w:rsid w:val="51AE408E"/>
    <w:rsid w:val="51B24966"/>
    <w:rsid w:val="51B95CA3"/>
    <w:rsid w:val="51BD0E26"/>
    <w:rsid w:val="51E113E5"/>
    <w:rsid w:val="51E90F26"/>
    <w:rsid w:val="51EF617D"/>
    <w:rsid w:val="529415BE"/>
    <w:rsid w:val="529736BB"/>
    <w:rsid w:val="532D1C73"/>
    <w:rsid w:val="534A721E"/>
    <w:rsid w:val="536A603E"/>
    <w:rsid w:val="536F625B"/>
    <w:rsid w:val="53812726"/>
    <w:rsid w:val="53C12033"/>
    <w:rsid w:val="53C17A06"/>
    <w:rsid w:val="53C51C01"/>
    <w:rsid w:val="53DD04F4"/>
    <w:rsid w:val="53E152CB"/>
    <w:rsid w:val="540146E3"/>
    <w:rsid w:val="54B3782F"/>
    <w:rsid w:val="54D74A08"/>
    <w:rsid w:val="5503564E"/>
    <w:rsid w:val="55196115"/>
    <w:rsid w:val="55752B46"/>
    <w:rsid w:val="558F45A9"/>
    <w:rsid w:val="55A87C53"/>
    <w:rsid w:val="55CD620D"/>
    <w:rsid w:val="55D5646F"/>
    <w:rsid w:val="55EE5388"/>
    <w:rsid w:val="560B1430"/>
    <w:rsid w:val="56792EA1"/>
    <w:rsid w:val="56951575"/>
    <w:rsid w:val="56C7032E"/>
    <w:rsid w:val="56E80E23"/>
    <w:rsid w:val="571D387C"/>
    <w:rsid w:val="572D5C52"/>
    <w:rsid w:val="575C0DE2"/>
    <w:rsid w:val="57A859DE"/>
    <w:rsid w:val="57C54F8E"/>
    <w:rsid w:val="58036FF1"/>
    <w:rsid w:val="582D366F"/>
    <w:rsid w:val="5854137A"/>
    <w:rsid w:val="58560FFA"/>
    <w:rsid w:val="58690E3A"/>
    <w:rsid w:val="587D0513"/>
    <w:rsid w:val="58B8109E"/>
    <w:rsid w:val="59006F15"/>
    <w:rsid w:val="591D7CF8"/>
    <w:rsid w:val="596F24E0"/>
    <w:rsid w:val="59AC3B2A"/>
    <w:rsid w:val="59AE3066"/>
    <w:rsid w:val="59C14E9D"/>
    <w:rsid w:val="59C44A54"/>
    <w:rsid w:val="5A04734E"/>
    <w:rsid w:val="5A063A04"/>
    <w:rsid w:val="5A1A1BDF"/>
    <w:rsid w:val="5A4E49B8"/>
    <w:rsid w:val="5A646B5B"/>
    <w:rsid w:val="5A6667DB"/>
    <w:rsid w:val="5AB55661"/>
    <w:rsid w:val="5AC233DE"/>
    <w:rsid w:val="5AD631DF"/>
    <w:rsid w:val="5AD70D9E"/>
    <w:rsid w:val="5AEA194B"/>
    <w:rsid w:val="5AEE543B"/>
    <w:rsid w:val="5B0561D3"/>
    <w:rsid w:val="5B1146F6"/>
    <w:rsid w:val="5B4B2E27"/>
    <w:rsid w:val="5B78539F"/>
    <w:rsid w:val="5B9B3B80"/>
    <w:rsid w:val="5BA57168"/>
    <w:rsid w:val="5BFE6869"/>
    <w:rsid w:val="5C032D84"/>
    <w:rsid w:val="5C07178B"/>
    <w:rsid w:val="5C9C33F0"/>
    <w:rsid w:val="5D0E321C"/>
    <w:rsid w:val="5D200732"/>
    <w:rsid w:val="5D2C0268"/>
    <w:rsid w:val="5D2D376B"/>
    <w:rsid w:val="5D2E11ED"/>
    <w:rsid w:val="5D5749A7"/>
    <w:rsid w:val="5D6A35D0"/>
    <w:rsid w:val="5D851BFC"/>
    <w:rsid w:val="5DC374E2"/>
    <w:rsid w:val="5DD2354A"/>
    <w:rsid w:val="5E1A20EF"/>
    <w:rsid w:val="5E457D25"/>
    <w:rsid w:val="5EB95212"/>
    <w:rsid w:val="5EE42E3D"/>
    <w:rsid w:val="5EF84D97"/>
    <w:rsid w:val="5F0E373C"/>
    <w:rsid w:val="5F1F5AD0"/>
    <w:rsid w:val="5F373DEF"/>
    <w:rsid w:val="5F46765E"/>
    <w:rsid w:val="5F5C31AA"/>
    <w:rsid w:val="5F615C89"/>
    <w:rsid w:val="5F744CAA"/>
    <w:rsid w:val="5F82688B"/>
    <w:rsid w:val="5FA9607E"/>
    <w:rsid w:val="5FD92ABE"/>
    <w:rsid w:val="5FEE6B72"/>
    <w:rsid w:val="5FF42C7A"/>
    <w:rsid w:val="601B50B8"/>
    <w:rsid w:val="601C2BA3"/>
    <w:rsid w:val="607522CE"/>
    <w:rsid w:val="60BB71C0"/>
    <w:rsid w:val="60E013E4"/>
    <w:rsid w:val="60F80248"/>
    <w:rsid w:val="60FE4183"/>
    <w:rsid w:val="616D2866"/>
    <w:rsid w:val="6198465A"/>
    <w:rsid w:val="61AB6895"/>
    <w:rsid w:val="61B054B5"/>
    <w:rsid w:val="623B41B9"/>
    <w:rsid w:val="623C75A2"/>
    <w:rsid w:val="624F75D6"/>
    <w:rsid w:val="62660FE4"/>
    <w:rsid w:val="627B391D"/>
    <w:rsid w:val="62DE2F31"/>
    <w:rsid w:val="62EE3741"/>
    <w:rsid w:val="631728A2"/>
    <w:rsid w:val="632A11FF"/>
    <w:rsid w:val="636813A7"/>
    <w:rsid w:val="63754E3A"/>
    <w:rsid w:val="6393253A"/>
    <w:rsid w:val="63A8690E"/>
    <w:rsid w:val="63D15554"/>
    <w:rsid w:val="63E853DA"/>
    <w:rsid w:val="64102BE4"/>
    <w:rsid w:val="64127BB6"/>
    <w:rsid w:val="641505D8"/>
    <w:rsid w:val="644B3B98"/>
    <w:rsid w:val="6459624C"/>
    <w:rsid w:val="64607FC5"/>
    <w:rsid w:val="64783763"/>
    <w:rsid w:val="647C0E3D"/>
    <w:rsid w:val="649461E7"/>
    <w:rsid w:val="64CA1EE8"/>
    <w:rsid w:val="64D13A61"/>
    <w:rsid w:val="64E22AF5"/>
    <w:rsid w:val="65320613"/>
    <w:rsid w:val="65950175"/>
    <w:rsid w:val="6595521D"/>
    <w:rsid w:val="65E36238"/>
    <w:rsid w:val="660563ED"/>
    <w:rsid w:val="661903D3"/>
    <w:rsid w:val="662E75B1"/>
    <w:rsid w:val="66BC011A"/>
    <w:rsid w:val="66C3504E"/>
    <w:rsid w:val="66EC0C69"/>
    <w:rsid w:val="66FB3482"/>
    <w:rsid w:val="66FE3167"/>
    <w:rsid w:val="67244646"/>
    <w:rsid w:val="672C2C3D"/>
    <w:rsid w:val="673203AB"/>
    <w:rsid w:val="673D2061"/>
    <w:rsid w:val="67602B63"/>
    <w:rsid w:val="67903975"/>
    <w:rsid w:val="67F7037A"/>
    <w:rsid w:val="67FA7F10"/>
    <w:rsid w:val="680E2045"/>
    <w:rsid w:val="680F0E48"/>
    <w:rsid w:val="681A613A"/>
    <w:rsid w:val="6832790E"/>
    <w:rsid w:val="6855023B"/>
    <w:rsid w:val="68893FB5"/>
    <w:rsid w:val="68D33B1A"/>
    <w:rsid w:val="69085BD7"/>
    <w:rsid w:val="69220889"/>
    <w:rsid w:val="694677C3"/>
    <w:rsid w:val="695F558E"/>
    <w:rsid w:val="69955D13"/>
    <w:rsid w:val="69975110"/>
    <w:rsid w:val="69C82CA0"/>
    <w:rsid w:val="69F06B78"/>
    <w:rsid w:val="69F44464"/>
    <w:rsid w:val="6A6D175B"/>
    <w:rsid w:val="6AB16472"/>
    <w:rsid w:val="6ABB6AF9"/>
    <w:rsid w:val="6AEB40DC"/>
    <w:rsid w:val="6B1967C5"/>
    <w:rsid w:val="6B267FDF"/>
    <w:rsid w:val="6B3F5D22"/>
    <w:rsid w:val="6B8922FC"/>
    <w:rsid w:val="6B960661"/>
    <w:rsid w:val="6B994A5D"/>
    <w:rsid w:val="6BC8711C"/>
    <w:rsid w:val="6BCD723F"/>
    <w:rsid w:val="6BE4390F"/>
    <w:rsid w:val="6C035BBC"/>
    <w:rsid w:val="6C3C1DA0"/>
    <w:rsid w:val="6C4206FC"/>
    <w:rsid w:val="6C433FB2"/>
    <w:rsid w:val="6C434FAE"/>
    <w:rsid w:val="6C445178"/>
    <w:rsid w:val="6C4504B1"/>
    <w:rsid w:val="6C9054EC"/>
    <w:rsid w:val="6C9317D5"/>
    <w:rsid w:val="6CD669C5"/>
    <w:rsid w:val="6CD82114"/>
    <w:rsid w:val="6D2F79D4"/>
    <w:rsid w:val="6D503E66"/>
    <w:rsid w:val="6D5A4776"/>
    <w:rsid w:val="6D6E6C99"/>
    <w:rsid w:val="6DA438F0"/>
    <w:rsid w:val="6DC72D76"/>
    <w:rsid w:val="6DCB39C9"/>
    <w:rsid w:val="6E3E3B2E"/>
    <w:rsid w:val="6E3F23EB"/>
    <w:rsid w:val="6EAC5188"/>
    <w:rsid w:val="6EAD1BA4"/>
    <w:rsid w:val="6EB3022A"/>
    <w:rsid w:val="6EB70CD9"/>
    <w:rsid w:val="6EC05342"/>
    <w:rsid w:val="6ED829E8"/>
    <w:rsid w:val="6EFA6420"/>
    <w:rsid w:val="6F285C6B"/>
    <w:rsid w:val="6F4E2AA5"/>
    <w:rsid w:val="6F6B1A51"/>
    <w:rsid w:val="6F811B7C"/>
    <w:rsid w:val="6FD54E8A"/>
    <w:rsid w:val="6FF5793D"/>
    <w:rsid w:val="700B7B66"/>
    <w:rsid w:val="700E15EF"/>
    <w:rsid w:val="703C6C3F"/>
    <w:rsid w:val="70483B44"/>
    <w:rsid w:val="704E5A4D"/>
    <w:rsid w:val="70761190"/>
    <w:rsid w:val="709D5EE2"/>
    <w:rsid w:val="70ED5B9C"/>
    <w:rsid w:val="713302B6"/>
    <w:rsid w:val="713F67CB"/>
    <w:rsid w:val="71C61DB6"/>
    <w:rsid w:val="71CD4FC5"/>
    <w:rsid w:val="71DB1D5C"/>
    <w:rsid w:val="71F47531"/>
    <w:rsid w:val="72273726"/>
    <w:rsid w:val="72294188"/>
    <w:rsid w:val="72411700"/>
    <w:rsid w:val="72491D87"/>
    <w:rsid w:val="725A3269"/>
    <w:rsid w:val="725E489B"/>
    <w:rsid w:val="7285436F"/>
    <w:rsid w:val="72886A73"/>
    <w:rsid w:val="72CF3C49"/>
    <w:rsid w:val="7329373D"/>
    <w:rsid w:val="73380993"/>
    <w:rsid w:val="73860AFC"/>
    <w:rsid w:val="73DD5119"/>
    <w:rsid w:val="73F15BC3"/>
    <w:rsid w:val="74141024"/>
    <w:rsid w:val="74263BAF"/>
    <w:rsid w:val="743260A1"/>
    <w:rsid w:val="74786B81"/>
    <w:rsid w:val="74865C49"/>
    <w:rsid w:val="74A56159"/>
    <w:rsid w:val="74D15D20"/>
    <w:rsid w:val="74DA3425"/>
    <w:rsid w:val="74DD3606"/>
    <w:rsid w:val="74EF5AE6"/>
    <w:rsid w:val="7524053F"/>
    <w:rsid w:val="75267228"/>
    <w:rsid w:val="753500CC"/>
    <w:rsid w:val="7554328C"/>
    <w:rsid w:val="757D4459"/>
    <w:rsid w:val="75801B52"/>
    <w:rsid w:val="759251A6"/>
    <w:rsid w:val="75A72C10"/>
    <w:rsid w:val="75D25EEA"/>
    <w:rsid w:val="75F33655"/>
    <w:rsid w:val="76485760"/>
    <w:rsid w:val="765B603D"/>
    <w:rsid w:val="766A126A"/>
    <w:rsid w:val="76835EFD"/>
    <w:rsid w:val="76977294"/>
    <w:rsid w:val="769C1025"/>
    <w:rsid w:val="76A10A7B"/>
    <w:rsid w:val="76A11990"/>
    <w:rsid w:val="76C860E4"/>
    <w:rsid w:val="76D67F05"/>
    <w:rsid w:val="7715546B"/>
    <w:rsid w:val="771C4DF6"/>
    <w:rsid w:val="772B1C6A"/>
    <w:rsid w:val="774F434C"/>
    <w:rsid w:val="779623D0"/>
    <w:rsid w:val="77F04845"/>
    <w:rsid w:val="77F315D6"/>
    <w:rsid w:val="780A0753"/>
    <w:rsid w:val="78220996"/>
    <w:rsid w:val="78302AF9"/>
    <w:rsid w:val="783543FE"/>
    <w:rsid w:val="785B3584"/>
    <w:rsid w:val="78715728"/>
    <w:rsid w:val="78A2177A"/>
    <w:rsid w:val="78A22D6B"/>
    <w:rsid w:val="78AD4288"/>
    <w:rsid w:val="78AE1D0A"/>
    <w:rsid w:val="78D479CB"/>
    <w:rsid w:val="78E214E9"/>
    <w:rsid w:val="791D3642"/>
    <w:rsid w:val="795E2F6A"/>
    <w:rsid w:val="797B1D9C"/>
    <w:rsid w:val="799F4B15"/>
    <w:rsid w:val="79B575AB"/>
    <w:rsid w:val="79D15A74"/>
    <w:rsid w:val="7A3800AC"/>
    <w:rsid w:val="7A423425"/>
    <w:rsid w:val="7A45716C"/>
    <w:rsid w:val="7A4D17B6"/>
    <w:rsid w:val="7A6B2F64"/>
    <w:rsid w:val="7AA5772A"/>
    <w:rsid w:val="7AB52B42"/>
    <w:rsid w:val="7AD601E6"/>
    <w:rsid w:val="7AED469A"/>
    <w:rsid w:val="7AF342C2"/>
    <w:rsid w:val="7B080FA5"/>
    <w:rsid w:val="7B0E1DA6"/>
    <w:rsid w:val="7B4619CE"/>
    <w:rsid w:val="7B9265CA"/>
    <w:rsid w:val="7BA67624"/>
    <w:rsid w:val="7BE06B38"/>
    <w:rsid w:val="7C084414"/>
    <w:rsid w:val="7C453C67"/>
    <w:rsid w:val="7C5D442E"/>
    <w:rsid w:val="7C6651E7"/>
    <w:rsid w:val="7C687527"/>
    <w:rsid w:val="7CCA4DB5"/>
    <w:rsid w:val="7CD900C0"/>
    <w:rsid w:val="7CFC7D9A"/>
    <w:rsid w:val="7D14010C"/>
    <w:rsid w:val="7D2E5FEB"/>
    <w:rsid w:val="7D4071EF"/>
    <w:rsid w:val="7D5207A9"/>
    <w:rsid w:val="7D9A7047"/>
    <w:rsid w:val="7DB23819"/>
    <w:rsid w:val="7DC409A9"/>
    <w:rsid w:val="7DD15BB0"/>
    <w:rsid w:val="7DE22616"/>
    <w:rsid w:val="7DF50D1F"/>
    <w:rsid w:val="7E034D49"/>
    <w:rsid w:val="7E063AD0"/>
    <w:rsid w:val="7E28579A"/>
    <w:rsid w:val="7E355EC5"/>
    <w:rsid w:val="7E5C7086"/>
    <w:rsid w:val="7EC55A60"/>
    <w:rsid w:val="7EE14738"/>
    <w:rsid w:val="7EFB62D3"/>
    <w:rsid w:val="7F0521FC"/>
    <w:rsid w:val="7F3F4AD1"/>
    <w:rsid w:val="7F7F41A0"/>
    <w:rsid w:val="7F895E6D"/>
    <w:rsid w:val="7FBC58C7"/>
    <w:rsid w:val="7FEC4FAE"/>
    <w:rsid w:val="7FF7647E"/>
    <w:rsid w:val="7FFF06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qFormat="1" w:unhideWhenUsed="0" w:uiPriority="99"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unhideWhenUsed/>
    <w:qFormat/>
    <w:uiPriority w:val="9"/>
    <w:pPr>
      <w:spacing w:before="100" w:beforeAutospacing="1" w:after="100" w:afterAutospacing="1"/>
      <w:outlineLvl w:val="0"/>
    </w:pPr>
    <w:rPr>
      <w:rFonts w:cs="Times New Roman"/>
      <w:b/>
      <w:kern w:val="36"/>
      <w:sz w:val="48"/>
      <w:szCs w:val="48"/>
    </w:rPr>
  </w:style>
  <w:style w:type="paragraph" w:styleId="3">
    <w:name w:val="heading 2"/>
    <w:basedOn w:val="1"/>
    <w:unhideWhenUsed/>
    <w:qFormat/>
    <w:uiPriority w:val="9"/>
    <w:pPr>
      <w:keepNext/>
      <w:keepLines/>
      <w:spacing w:before="360" w:after="120"/>
      <w:outlineLvl w:val="1"/>
    </w:pPr>
    <w:rPr>
      <w:sz w:val="32"/>
      <w:szCs w:val="32"/>
    </w:rPr>
  </w:style>
  <w:style w:type="paragraph" w:styleId="4">
    <w:name w:val="heading 3"/>
    <w:basedOn w:val="1"/>
    <w:next w:val="1"/>
    <w:unhideWhenUsed/>
    <w:qFormat/>
    <w:uiPriority w:val="9"/>
    <w:pPr>
      <w:keepNext/>
      <w:keepLines/>
      <w:spacing w:before="320" w:after="80"/>
      <w:outlineLvl w:val="2"/>
    </w:pPr>
    <w:rPr>
      <w:color w:val="434343"/>
      <w:sz w:val="28"/>
      <w:szCs w:val="28"/>
    </w:rPr>
  </w:style>
  <w:style w:type="paragraph" w:styleId="5">
    <w:name w:val="heading 4"/>
    <w:basedOn w:val="1"/>
    <w:next w:val="1"/>
    <w:unhideWhenUsed/>
    <w:qFormat/>
    <w:uiPriority w:val="9"/>
    <w:pPr>
      <w:keepNext/>
      <w:keepLines/>
      <w:spacing w:before="100" w:beforeAutospacing="1" w:after="100" w:afterAutospacing="1"/>
      <w:jc w:val="center"/>
      <w:outlineLvl w:val="3"/>
    </w:pPr>
    <w:rPr>
      <w:rFonts w:ascii="Times New Roman" w:hAnsi="Times New Roman" w:eastAsiaTheme="majorEastAsia" w:cstheme="majorBidi"/>
      <w:b/>
      <w:bCs/>
      <w:iCs/>
      <w:color w:val="000000" w:themeColor="text1"/>
      <w:sz w:val="24"/>
      <w14:textFill>
        <w14:solidFill>
          <w14:schemeClr w14:val="tx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qFormat/>
    <w:uiPriority w:val="0"/>
    <w:pPr>
      <w:jc w:val="center"/>
    </w:pPr>
    <w:rPr>
      <w:rFonts w:ascii="Times New Roman" w:hAnsi="Times New Roman" w:eastAsia="Times New Roman" w:cs="Times New Roman"/>
      <w:b/>
      <w:bCs/>
      <w:sz w:val="32"/>
      <w:szCs w:val="24"/>
    </w:rPr>
  </w:style>
  <w:style w:type="paragraph" w:styleId="9">
    <w:name w:val="caption"/>
    <w:basedOn w:val="1"/>
    <w:next w:val="1"/>
    <w:unhideWhenUsed/>
    <w:qFormat/>
    <w:uiPriority w:val="35"/>
    <w:pPr>
      <w:spacing w:after="200"/>
    </w:pPr>
    <w:rPr>
      <w:i/>
      <w:iCs/>
      <w:color w:val="44546A" w:themeColor="text2"/>
      <w:sz w:val="24"/>
      <w:szCs w:val="18"/>
      <w14:textFill>
        <w14:solidFill>
          <w14:schemeClr w14:val="tx2"/>
        </w14:solidFill>
      </w14:textFill>
    </w:rPr>
  </w:style>
  <w:style w:type="character" w:styleId="10">
    <w:name w:val="Emphasis"/>
    <w:basedOn w:val="6"/>
    <w:qFormat/>
    <w:uiPriority w:val="20"/>
    <w:rPr>
      <w:i/>
      <w:iCs/>
    </w:rPr>
  </w:style>
  <w:style w:type="character" w:styleId="11">
    <w:name w:val="FollowedHyperlink"/>
    <w:basedOn w:val="6"/>
    <w:qFormat/>
    <w:uiPriority w:val="0"/>
    <w:rPr>
      <w:color w:val="800080"/>
      <w:u w:val="single"/>
    </w:rPr>
  </w:style>
  <w:style w:type="paragraph" w:styleId="12">
    <w:name w:val="footer"/>
    <w:basedOn w:val="1"/>
    <w:qFormat/>
    <w:uiPriority w:val="0"/>
    <w:pPr>
      <w:tabs>
        <w:tab w:val="center" w:pos="4153"/>
        <w:tab w:val="right" w:pos="8306"/>
      </w:tabs>
      <w:snapToGrid w:val="0"/>
    </w:pPr>
    <w:rPr>
      <w:sz w:val="18"/>
      <w:szCs w:val="18"/>
    </w:rPr>
  </w:style>
  <w:style w:type="paragraph" w:styleId="13">
    <w:name w:val="header"/>
    <w:basedOn w:val="1"/>
    <w:qFormat/>
    <w:uiPriority w:val="0"/>
    <w:pPr>
      <w:tabs>
        <w:tab w:val="center" w:pos="4153"/>
        <w:tab w:val="right" w:pos="8306"/>
      </w:tabs>
      <w:snapToGrid w:val="0"/>
    </w:pPr>
    <w:rPr>
      <w:sz w:val="18"/>
      <w:szCs w:val="18"/>
    </w:rPr>
  </w:style>
  <w:style w:type="character" w:styleId="14">
    <w:name w:val="HTML Cite"/>
    <w:basedOn w:val="6"/>
    <w:qFormat/>
    <w:uiPriority w:val="99"/>
    <w:rPr>
      <w:i/>
      <w:iCs/>
    </w:rPr>
  </w:style>
  <w:style w:type="character" w:styleId="15">
    <w:name w:val="Hyperlink"/>
    <w:basedOn w:val="6"/>
    <w:qFormat/>
    <w:uiPriority w:val="0"/>
    <w:rPr>
      <w:color w:val="0000FF"/>
      <w:u w:val="single"/>
    </w:rPr>
  </w:style>
  <w:style w:type="paragraph" w:styleId="16">
    <w:name w:val="Normal (Web)"/>
    <w:basedOn w:val="1"/>
    <w:semiHidden/>
    <w:unhideWhenUsed/>
    <w:qFormat/>
    <w:uiPriority w:val="99"/>
    <w:pPr>
      <w:spacing w:before="100" w:beforeAutospacing="1" w:after="100" w:afterAutospacing="1"/>
    </w:pPr>
    <w:rPr>
      <w:rFonts w:ascii="Times New Roman" w:hAnsi="Times New Roman" w:eastAsia="Times New Roman" w:cs="Times New Roman"/>
    </w:rPr>
  </w:style>
  <w:style w:type="character" w:styleId="17">
    <w:name w:val="page number"/>
    <w:basedOn w:val="6"/>
    <w:unhideWhenUsed/>
    <w:qFormat/>
    <w:uiPriority w:val="99"/>
  </w:style>
  <w:style w:type="character" w:styleId="18">
    <w:name w:val="Strong"/>
    <w:basedOn w:val="6"/>
    <w:qFormat/>
    <w:uiPriority w:val="22"/>
    <w:rPr>
      <w:b/>
      <w:bCs/>
    </w:rPr>
  </w:style>
  <w:style w:type="table" w:styleId="19">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Light Shading"/>
    <w:basedOn w:val="7"/>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21">
    <w:name w:val="Light List"/>
    <w:basedOn w:val="7"/>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22">
    <w:name w:val="Colorful List Accent 5"/>
    <w:basedOn w:val="7"/>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3">
    <w:name w:val="Colorful List Accent 6"/>
    <w:basedOn w:val="7"/>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4">
    <w:name w:val="Colorful Grid Accent 3"/>
    <w:basedOn w:val="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customStyle="1" w:styleId="25">
    <w:name w:val="Normal1"/>
    <w:qFormat/>
    <w:uiPriority w:val="0"/>
    <w:pPr>
      <w:spacing w:after="160" w:line="259" w:lineRule="auto"/>
    </w:pPr>
    <w:rPr>
      <w:rFonts w:ascii="Calibri" w:hAnsi="Calibri" w:eastAsia="Calibri" w:cs="Calibri"/>
      <w:sz w:val="22"/>
      <w:szCs w:val="22"/>
      <w:lang w:val="en-US" w:eastAsia="en-US" w:bidi="ar-SA"/>
    </w:rPr>
  </w:style>
  <w:style w:type="paragraph" w:customStyle="1" w:styleId="26">
    <w:name w:val="Normal11"/>
    <w:qFormat/>
    <w:uiPriority w:val="0"/>
    <w:pPr>
      <w:spacing w:line="276" w:lineRule="auto"/>
    </w:pPr>
    <w:rPr>
      <w:rFonts w:ascii="Arial" w:hAnsi="Arial" w:eastAsia="Arial" w:cs="Arial"/>
      <w:sz w:val="22"/>
      <w:szCs w:val="22"/>
      <w:lang w:val="en-US" w:eastAsia="en-US" w:bidi="ar-SA"/>
    </w:rPr>
  </w:style>
  <w:style w:type="table" w:customStyle="1" w:styleId="27">
    <w:name w:val="_Style 21"/>
    <w:basedOn w:val="7"/>
    <w:qFormat/>
    <w:uiPriority w:val="0"/>
    <w:tblPr>
      <w:tblCellMar>
        <w:top w:w="100" w:type="dxa"/>
        <w:left w:w="100" w:type="dxa"/>
        <w:bottom w:w="100" w:type="dxa"/>
        <w:right w:w="100" w:type="dxa"/>
      </w:tblCellMar>
    </w:tblPr>
  </w:style>
  <w:style w:type="table" w:customStyle="1" w:styleId="28">
    <w:name w:val="_Style 22"/>
    <w:basedOn w:val="7"/>
    <w:qFormat/>
    <w:uiPriority w:val="0"/>
    <w:tblPr>
      <w:tblCellMar>
        <w:top w:w="100" w:type="dxa"/>
        <w:left w:w="100" w:type="dxa"/>
        <w:bottom w:w="100" w:type="dxa"/>
        <w:right w:w="100" w:type="dxa"/>
      </w:tblCellMar>
    </w:tblPr>
  </w:style>
  <w:style w:type="table" w:customStyle="1" w:styleId="29">
    <w:name w:val="_Style 23"/>
    <w:basedOn w:val="7"/>
    <w:qFormat/>
    <w:uiPriority w:val="0"/>
    <w:tblPr>
      <w:tblCellMar>
        <w:top w:w="100" w:type="dxa"/>
        <w:left w:w="100" w:type="dxa"/>
        <w:bottom w:w="100" w:type="dxa"/>
        <w:right w:w="100" w:type="dxa"/>
      </w:tblCellMar>
    </w:tblPr>
  </w:style>
  <w:style w:type="table" w:customStyle="1" w:styleId="30">
    <w:name w:val="_Style 24"/>
    <w:basedOn w:val="7"/>
    <w:qFormat/>
    <w:uiPriority w:val="0"/>
    <w:tblPr>
      <w:tblCellMar>
        <w:top w:w="100" w:type="dxa"/>
        <w:left w:w="100" w:type="dxa"/>
        <w:bottom w:w="100" w:type="dxa"/>
        <w:right w:w="100" w:type="dxa"/>
      </w:tblCellMar>
    </w:tblPr>
  </w:style>
  <w:style w:type="table" w:customStyle="1" w:styleId="31">
    <w:name w:val="_Style 25"/>
    <w:basedOn w:val="7"/>
    <w:qFormat/>
    <w:uiPriority w:val="0"/>
    <w:tblPr>
      <w:tblCellMar>
        <w:top w:w="100" w:type="dxa"/>
        <w:left w:w="100" w:type="dxa"/>
        <w:bottom w:w="100" w:type="dxa"/>
        <w:right w:w="100" w:type="dxa"/>
      </w:tblCellMar>
    </w:tblPr>
  </w:style>
  <w:style w:type="table" w:customStyle="1" w:styleId="32">
    <w:name w:val="_Style 26"/>
    <w:basedOn w:val="7"/>
    <w:qFormat/>
    <w:uiPriority w:val="0"/>
    <w:tblPr>
      <w:tblCellMar>
        <w:top w:w="100" w:type="dxa"/>
        <w:left w:w="100" w:type="dxa"/>
        <w:bottom w:w="100" w:type="dxa"/>
        <w:right w:w="100" w:type="dxa"/>
      </w:tblCellMar>
    </w:tblPr>
  </w:style>
  <w:style w:type="table" w:customStyle="1" w:styleId="33">
    <w:name w:val="_Style 27"/>
    <w:basedOn w:val="7"/>
    <w:qFormat/>
    <w:uiPriority w:val="0"/>
    <w:tblPr>
      <w:tblCellMar>
        <w:top w:w="100" w:type="dxa"/>
        <w:left w:w="100" w:type="dxa"/>
        <w:bottom w:w="100" w:type="dxa"/>
        <w:right w:w="100" w:type="dxa"/>
      </w:tblCellMar>
    </w:tblPr>
  </w:style>
  <w:style w:type="table" w:customStyle="1" w:styleId="34">
    <w:name w:val="_Style 28"/>
    <w:basedOn w:val="7"/>
    <w:qFormat/>
    <w:uiPriority w:val="0"/>
    <w:tblPr>
      <w:tblCellMar>
        <w:top w:w="100" w:type="dxa"/>
        <w:left w:w="100" w:type="dxa"/>
        <w:bottom w:w="100" w:type="dxa"/>
        <w:right w:w="100" w:type="dxa"/>
      </w:tblCellMar>
    </w:tblPr>
  </w:style>
  <w:style w:type="paragraph" w:styleId="35">
    <w:name w:val="List Paragraph"/>
    <w:basedOn w:val="1"/>
    <w:qFormat/>
    <w:uiPriority w:val="34"/>
    <w:pPr>
      <w:ind w:left="720"/>
      <w:contextualSpacing/>
    </w:pPr>
  </w:style>
  <w:style w:type="paragraph" w:styleId="36">
    <w:name w:val="No Spacing"/>
    <w:qFormat/>
    <w:uiPriority w:val="1"/>
    <w:rPr>
      <w:rFonts w:asciiTheme="minorHAnsi" w:hAnsiTheme="minorHAnsi" w:eastAsiaTheme="minorHAnsi" w:cstheme="minorBidi"/>
      <w:sz w:val="22"/>
      <w:szCs w:val="22"/>
      <w:lang w:val="en-US" w:eastAsia="en-US" w:bidi="ar-SA"/>
    </w:rPr>
  </w:style>
  <w:style w:type="table" w:customStyle="1" w:styleId="37">
    <w:name w:val="Table Grid1"/>
    <w:basedOn w:val="7"/>
    <w:qFormat/>
    <w:locked/>
    <w:uiPriority w:val="0"/>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8">
    <w:name w:val="TableGrid"/>
    <w:qFormat/>
    <w:uiPriority w:val="0"/>
    <w:rPr>
      <w:rFonts w:eastAsiaTheme="minorEastAsia"/>
      <w:sz w:val="22"/>
      <w:szCs w:val="22"/>
    </w:rPr>
    <w:tblPr>
      <w:tblCellMar>
        <w:top w:w="0" w:type="dxa"/>
        <w:left w:w="0" w:type="dxa"/>
        <w:bottom w:w="0" w:type="dxa"/>
        <w:right w:w="0" w:type="dxa"/>
      </w:tblCellMar>
    </w:tblPr>
  </w:style>
  <w:style w:type="table" w:customStyle="1" w:styleId="39">
    <w:name w:val="_Style 13"/>
    <w:basedOn w:val="40"/>
    <w:qFormat/>
    <w:uiPriority w:val="0"/>
    <w:tblPr>
      <w:tblCellMar>
        <w:top w:w="100" w:type="dxa"/>
        <w:left w:w="100" w:type="dxa"/>
        <w:bottom w:w="100" w:type="dxa"/>
        <w:right w:w="100" w:type="dxa"/>
      </w:tblCellMar>
    </w:tblPr>
  </w:style>
  <w:style w:type="table" w:customStyle="1" w:styleId="40">
    <w:name w:val="TableNormal"/>
    <w:qFormat/>
    <w:uiPriority w:val="0"/>
    <w:tblPr>
      <w:tblCellMar>
        <w:top w:w="0" w:type="dxa"/>
        <w:left w:w="0" w:type="dxa"/>
        <w:bottom w:w="0" w:type="dxa"/>
        <w:right w:w="0" w:type="dxa"/>
      </w:tblCellMar>
    </w:tblPr>
  </w:style>
  <w:style w:type="table" w:customStyle="1" w:styleId="41">
    <w:name w:val="_Style 14"/>
    <w:basedOn w:val="40"/>
    <w:qFormat/>
    <w:uiPriority w:val="0"/>
    <w:tblPr>
      <w:tblCellMar>
        <w:top w:w="100" w:type="dxa"/>
        <w:left w:w="100" w:type="dxa"/>
        <w:bottom w:w="100" w:type="dxa"/>
        <w:right w:w="100" w:type="dxa"/>
      </w:tblCellMar>
    </w:tblPr>
  </w:style>
  <w:style w:type="table" w:customStyle="1" w:styleId="42">
    <w:name w:val="_Style 15"/>
    <w:basedOn w:val="40"/>
    <w:qFormat/>
    <w:uiPriority w:val="0"/>
    <w:tblPr>
      <w:tblCellMar>
        <w:top w:w="100" w:type="dxa"/>
        <w:left w:w="100" w:type="dxa"/>
        <w:bottom w:w="100" w:type="dxa"/>
        <w:right w:w="100" w:type="dxa"/>
      </w:tblCellMar>
    </w:tblPr>
  </w:style>
  <w:style w:type="table" w:customStyle="1" w:styleId="43">
    <w:name w:val="_Style 16"/>
    <w:basedOn w:val="40"/>
    <w:qFormat/>
    <w:uiPriority w:val="0"/>
    <w:tblPr>
      <w:tblCellMar>
        <w:top w:w="100" w:type="dxa"/>
        <w:left w:w="100" w:type="dxa"/>
        <w:bottom w:w="100" w:type="dxa"/>
        <w:right w:w="100" w:type="dxa"/>
      </w:tblCellMar>
    </w:tblPr>
  </w:style>
  <w:style w:type="table" w:customStyle="1" w:styleId="44">
    <w:name w:val="_Style 17"/>
    <w:basedOn w:val="40"/>
    <w:qFormat/>
    <w:uiPriority w:val="0"/>
    <w:tblPr>
      <w:tblCellMar>
        <w:top w:w="100" w:type="dxa"/>
        <w:left w:w="100" w:type="dxa"/>
        <w:bottom w:w="100" w:type="dxa"/>
        <w:right w:w="100" w:type="dxa"/>
      </w:tblCellMar>
    </w:tblPr>
  </w:style>
  <w:style w:type="table" w:customStyle="1" w:styleId="45">
    <w:name w:val="_Style 18"/>
    <w:basedOn w:val="40"/>
    <w:qFormat/>
    <w:uiPriority w:val="0"/>
    <w:tblPr>
      <w:tblCellMar>
        <w:top w:w="100" w:type="dxa"/>
        <w:left w:w="100" w:type="dxa"/>
        <w:bottom w:w="100" w:type="dxa"/>
        <w:right w:w="100" w:type="dxa"/>
      </w:tblCellMar>
    </w:tblPr>
  </w:style>
  <w:style w:type="table" w:customStyle="1" w:styleId="46">
    <w:name w:val="_Style 19"/>
    <w:basedOn w:val="40"/>
    <w:qFormat/>
    <w:uiPriority w:val="0"/>
    <w:tblPr>
      <w:tblCellMar>
        <w:top w:w="100" w:type="dxa"/>
        <w:left w:w="100" w:type="dxa"/>
        <w:bottom w:w="100" w:type="dxa"/>
        <w:right w:w="100" w:type="dxa"/>
      </w:tblCellMar>
    </w:tblPr>
  </w:style>
  <w:style w:type="table" w:customStyle="1" w:styleId="47">
    <w:name w:val="_Style 20"/>
    <w:basedOn w:val="40"/>
    <w:qFormat/>
    <w:uiPriority w:val="0"/>
    <w:tblPr>
      <w:tblCellMar>
        <w:top w:w="100" w:type="dxa"/>
        <w:left w:w="100" w:type="dxa"/>
        <w:bottom w:w="100" w:type="dxa"/>
        <w:right w:w="100" w:type="dxa"/>
      </w:tblCellMar>
    </w:tblPr>
  </w:style>
  <w:style w:type="paragraph" w:customStyle="1" w:styleId="48">
    <w:name w:val="ds-markdown-paragraph"/>
    <w:basedOn w:val="1"/>
    <w:qFormat/>
    <w:uiPriority w:val="0"/>
    <w:pPr>
      <w:spacing w:before="100" w:beforeAutospacing="1" w:after="100" w:afterAutospacing="1"/>
    </w:pPr>
    <w:rPr>
      <w:rFonts w:ascii="Times New Roman" w:hAnsi="Times New Roman" w:eastAsia="Times New Roman" w:cs="Times New Roman"/>
      <w:sz w:val="24"/>
      <w:szCs w:val="24"/>
    </w:rPr>
  </w:style>
  <w:style w:type="table" w:customStyle="1" w:styleId="49">
    <w:name w:val="Plain Table 11"/>
    <w:basedOn w:val="7"/>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50">
    <w:name w:val="apple-converted-space"/>
    <w:basedOn w:val="6"/>
    <w:qFormat/>
    <w:uiPriority w:val="0"/>
  </w:style>
  <w:style w:type="table" w:customStyle="1" w:styleId="51">
    <w:name w:val="Plain Table 41"/>
    <w:basedOn w:val="7"/>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52">
    <w:name w:val="EndNote Bibliography"/>
    <w:basedOn w:val="1"/>
    <w:qFormat/>
    <w:uiPriority w:val="0"/>
  </w:style>
  <w:style w:type="table" w:customStyle="1" w:styleId="53">
    <w:name w:val="Table Grid Light1"/>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54">
    <w:name w:val="Default"/>
    <w:qFormat/>
    <w:uiPriority w:val="0"/>
    <w:pPr>
      <w:autoSpaceDE w:val="0"/>
      <w:autoSpaceDN w:val="0"/>
      <w:adjustRightInd w:val="0"/>
    </w:pPr>
    <w:rPr>
      <w:rFonts w:ascii="Minion Pro" w:hAnsi="Minion Pro" w:cs="Minion Pro" w:eastAsiaTheme="minorEastAsia"/>
      <w:color w:val="000000"/>
      <w:sz w:val="24"/>
      <w:szCs w:val="24"/>
      <w:lang w:val="en-US" w:eastAsia="en-US" w:bidi="ar-SA"/>
    </w:rPr>
  </w:style>
  <w:style w:type="character" w:customStyle="1" w:styleId="55">
    <w:name w:val="html-italic"/>
    <w:basedOn w:val="6"/>
    <w:qFormat/>
    <w:uiPriority w:val="0"/>
  </w:style>
  <w:style w:type="paragraph" w:customStyle="1" w:styleId="56">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57">
    <w:name w:val="List Paragraph1"/>
    <w:basedOn w:val="1"/>
    <w:qFormat/>
    <w:uiPriority w:val="34"/>
    <w:pPr>
      <w:spacing w:after="200" w:line="276" w:lineRule="auto"/>
      <w:ind w:left="720"/>
    </w:pPr>
  </w:style>
  <w:style w:type="table" w:customStyle="1" w:styleId="58">
    <w:name w:val="Plain Table 21"/>
    <w:basedOn w:val="7"/>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59">
    <w:name w:val="Table Paragraph"/>
    <w:basedOn w:val="1"/>
    <w:qFormat/>
    <w:uiPriority w:val="1"/>
    <w:pPr>
      <w:spacing w:line="273" w:lineRule="exact"/>
      <w:ind w:left="110"/>
    </w:pPr>
  </w:style>
  <w:style w:type="table" w:customStyle="1" w:styleId="60">
    <w:name w:val="Grid Table 4 - Accent 11"/>
    <w:basedOn w:val="7"/>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61">
    <w:name w:val="Grid Table 4 - Accent 12"/>
    <w:basedOn w:val="7"/>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62">
    <w:name w:val="List Table 3 - Accent 51"/>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table" w:customStyle="1" w:styleId="63">
    <w:name w:val="List Table 3 - Accent 52"/>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table" w:customStyle="1" w:styleId="64">
    <w:name w:val="List Table 3 - Accent 53"/>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table" w:customStyle="1" w:styleId="65">
    <w:name w:val="List Table 3 - Accent 54"/>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table" w:customStyle="1" w:styleId="66">
    <w:name w:val="List Table 3 - Accent 55"/>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table" w:customStyle="1" w:styleId="67">
    <w:name w:val="List Table 3 - Accent 56"/>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table" w:customStyle="1" w:styleId="68">
    <w:name w:val="List Table 3 - Accent 57"/>
    <w:basedOn w:val="7"/>
    <w:qFormat/>
    <w:uiPriority w:val="48"/>
    <w:tblPr>
      <w:tblBorders>
        <w:top w:val="single" w:color="4472C4" w:sz="4" w:space="0"/>
        <w:left w:val="single" w:color="4472C4" w:sz="4" w:space="0"/>
        <w:bottom w:val="single" w:color="4472C4" w:sz="4" w:space="0"/>
        <w:right w:val="single" w:color="4472C4" w:sz="4" w:space="0"/>
      </w:tblBorders>
    </w:tblPr>
    <w:tblStylePr w:type="firstRow">
      <w:rPr>
        <w:b/>
        <w:bCs/>
        <w:color w:val="FFFFFF"/>
      </w:rPr>
      <w:tcPr>
        <w:shd w:val="clear" w:color="auto" w:fill="4472C4"/>
      </w:tcPr>
    </w:tblStylePr>
    <w:tblStylePr w:type="lastRow">
      <w:rPr>
        <w:b/>
        <w:bCs/>
      </w:rPr>
      <w:tcPr>
        <w:tcBorders>
          <w:top w:val="double" w:color="4472C4"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4472C4" w:sz="4" w:space="0"/>
          <w:right w:val="single" w:color="4472C4" w:sz="4" w:space="0"/>
        </w:tcBorders>
      </w:tcPr>
    </w:tblStylePr>
    <w:tblStylePr w:type="band1Horz">
      <w:tcPr>
        <w:tcBorders>
          <w:top w:val="single" w:color="4472C4" w:sz="4" w:space="0"/>
          <w:bottom w:val="single" w:color="4472C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sz="4" w:space="0"/>
          <w:left w:val="nil"/>
        </w:tcBorders>
      </w:tcPr>
    </w:tblStylePr>
    <w:tblStylePr w:type="swCell">
      <w:tcPr>
        <w:tcBorders>
          <w:top w:val="double" w:color="4472C4" w:sz="4" w:space="0"/>
          <w:right w:val="nil"/>
        </w:tcBorders>
      </w:tcPr>
    </w:tblStylePr>
  </w:style>
  <w:style w:type="character" w:customStyle="1" w:styleId="69">
    <w:name w:val="uv3um"/>
    <w:basedOn w:val="6"/>
    <w:qFormat/>
    <w:uiPriority w:val="0"/>
  </w:style>
  <w:style w:type="character" w:customStyle="1" w:styleId="70">
    <w:name w:val="16"/>
    <w:basedOn w:val="6"/>
    <w:qFormat/>
    <w:uiPriority w:val="0"/>
    <w:rPr>
      <w:rFonts w:hint="eastAsia" w:ascii="SimSun" w:hAnsi="SimSun" w:eastAsia="SimSun"/>
      <w:b/>
      <w:bCs/>
    </w:rPr>
  </w:style>
  <w:style w:type="table" w:customStyle="1" w:styleId="71">
    <w:name w:val="Table Grid Light2"/>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72">
    <w:name w:val="_Style 12"/>
    <w:basedOn w:val="40"/>
    <w:qFormat/>
    <w:uiPriority w:val="0"/>
    <w:rPr>
      <w:rFonts w:ascii="Calibri" w:hAnsi="Calibri" w:eastAsia="Calibri" w:cs="Calibri"/>
    </w:rPr>
    <w:tblPr>
      <w:tblCellMar>
        <w:left w:w="108" w:type="dxa"/>
        <w:right w:w="108" w:type="dxa"/>
      </w:tblCellMar>
    </w:tblPr>
  </w:style>
  <w:style w:type="table" w:customStyle="1" w:styleId="73">
    <w:name w:val="Plain Table 12"/>
    <w:basedOn w:val="7"/>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74">
    <w:name w:val="List Table 3 - Accent 11"/>
    <w:basedOn w:val="7"/>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paragraph" w:customStyle="1" w:styleId="75">
    <w:name w:val="_Style 7"/>
    <w:basedOn w:val="1"/>
    <w:next w:val="1"/>
    <w:qFormat/>
    <w:uiPriority w:val="0"/>
    <w:pPr>
      <w:pBdr>
        <w:bottom w:val="single" w:color="auto" w:sz="6" w:space="1"/>
      </w:pBdr>
      <w:jc w:val="center"/>
    </w:pPr>
    <w:rPr>
      <w:rFonts w:ascii="Arial" w:eastAsia="SimSun"/>
      <w:vanish/>
      <w:sz w:val="16"/>
    </w:rPr>
  </w:style>
  <w:style w:type="paragraph" w:customStyle="1" w:styleId="76">
    <w:name w:val="_Style 9"/>
    <w:basedOn w:val="1"/>
    <w:next w:val="1"/>
    <w:qFormat/>
    <w:uiPriority w:val="0"/>
    <w:pPr>
      <w:pBdr>
        <w:bottom w:val="single" w:color="auto" w:sz="6" w:space="1"/>
      </w:pBdr>
      <w:jc w:val="center"/>
    </w:pPr>
    <w:rPr>
      <w:rFonts w:ascii="Arial" w:eastAsia="SimSun"/>
      <w:vanish/>
      <w:sz w:val="16"/>
    </w:rPr>
  </w:style>
  <w:style w:type="table" w:customStyle="1" w:styleId="77">
    <w:name w:val="List Table 3 - Accent 12"/>
    <w:basedOn w:val="7"/>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character" w:customStyle="1" w:styleId="78">
    <w:name w:val="katex-mathml"/>
    <w:basedOn w:val="6"/>
    <w:qFormat/>
    <w:uiPriority w:val="0"/>
  </w:style>
  <w:style w:type="character" w:customStyle="1" w:styleId="79">
    <w:name w:val="mord"/>
    <w:basedOn w:val="6"/>
    <w:qFormat/>
    <w:uiPriority w:val="0"/>
  </w:style>
  <w:style w:type="character" w:customStyle="1" w:styleId="80">
    <w:name w:val="mrel"/>
    <w:basedOn w:val="6"/>
    <w:qFormat/>
    <w:uiPriority w:val="0"/>
  </w:style>
  <w:style w:type="character" w:customStyle="1" w:styleId="81">
    <w:name w:val="mbin"/>
    <w:basedOn w:val="6"/>
    <w:qFormat/>
    <w:uiPriority w:val="0"/>
  </w:style>
  <w:style w:type="character" w:customStyle="1" w:styleId="82">
    <w:name w:val="mopen"/>
    <w:basedOn w:val="6"/>
    <w:qFormat/>
    <w:uiPriority w:val="0"/>
  </w:style>
  <w:style w:type="character" w:customStyle="1" w:styleId="83">
    <w:name w:val="mclose"/>
    <w:basedOn w:val="6"/>
    <w:qFormat/>
    <w:uiPriority w:val="0"/>
  </w:style>
  <w:style w:type="table" w:customStyle="1" w:styleId="84">
    <w:name w:val="List Table 3 Accent 1"/>
    <w:basedOn w:val="7"/>
    <w:qFormat/>
    <w:uiPriority w:val="48"/>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paragraph" w:customStyle="1" w:styleId="85">
    <w:name w:val="isselectedend"/>
    <w:basedOn w:val="1"/>
    <w:qFormat/>
    <w:uiPriority w:val="0"/>
    <w:pPr>
      <w:spacing w:before="100" w:beforeAutospacing="1" w:after="100" w:afterAutospacing="1" w:line="240" w:lineRule="auto"/>
      <w:jc w:val="left"/>
    </w:pPr>
    <w:rPr>
      <w:rFonts w:eastAsia="Times New Roman" w:cs="Times New Roman"/>
      <w:spacing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4006</Words>
  <Characters>27049</Characters>
  <Lines>250</Lines>
  <Paragraphs>70</Paragraphs>
  <TotalTime>42</TotalTime>
  <ScaleCrop>false</ScaleCrop>
  <LinksUpToDate>false</LinksUpToDate>
  <CharactersWithSpaces>30793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2025-07-16T18:57:00Z</dcterms:created>
  <dc:creator>SUN RISE</dc:creator>
  <cp:lastModifiedBy>WPS_1728360255</cp:lastModifiedBy>
  <dcterms:modified xsi:type="dcterms:W3CDTF">2026-07-22T15:29:17Z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C2AA893108024A9DA86E0084AF4C68D9_13</vt:lpwstr>
  </property>
  <property fmtid="{D5CDD505-2E9C-101B-9397-08002B2CF9AE}" pid="4" name="KSOTemplateDocerSaveRecord">
    <vt:lpwstr>eyJoZGlkIjoiODlkMzQ1YmQ2M2RjZmY1ZWU3MWRjYWU5YTg5NjlkMTgiLCJ1c2VySWQiOiI4ODEzODUxMzIwNzcyIn0=</vt:lpwstr>
  </property>
</Properties>
</file>